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80293F0" w14:textId="7F71EA47" w:rsidR="00C82158" w:rsidRDefault="00C82158" w:rsidP="00C82158">
      <w:pPr>
        <w:pStyle w:val="CRCoverPage"/>
        <w:tabs>
          <w:tab w:val="right" w:pos="9639"/>
        </w:tabs>
        <w:spacing w:after="0"/>
        <w:rPr>
          <w:b/>
          <w:i/>
          <w:noProof/>
          <w:sz w:val="28"/>
        </w:rPr>
      </w:pPr>
      <w:bookmarkStart w:id="0" w:name="historyclause"/>
      <w:r>
        <w:rPr>
          <w:b/>
          <w:noProof/>
          <w:sz w:val="24"/>
        </w:rPr>
        <w:t>3GPP TSG-</w:t>
      </w:r>
      <w:r w:rsidR="0098459B">
        <w:fldChar w:fldCharType="begin"/>
      </w:r>
      <w:r w:rsidR="0098459B">
        <w:instrText xml:space="preserve"> DOCPROPERTY  TSG/WGRef  \* MERGEFORMAT </w:instrText>
      </w:r>
      <w:r w:rsidR="0098459B">
        <w:fldChar w:fldCharType="separate"/>
      </w:r>
      <w:r>
        <w:rPr>
          <w:b/>
          <w:noProof/>
          <w:sz w:val="24"/>
        </w:rPr>
        <w:t>RAN4</w:t>
      </w:r>
      <w:r w:rsidR="0098459B">
        <w:rPr>
          <w:b/>
          <w:noProof/>
          <w:sz w:val="24"/>
        </w:rPr>
        <w:fldChar w:fldCharType="end"/>
      </w:r>
      <w:r>
        <w:rPr>
          <w:b/>
          <w:noProof/>
          <w:sz w:val="24"/>
        </w:rPr>
        <w:t xml:space="preserve"> Meeting #98</w:t>
      </w:r>
      <w:r w:rsidR="00E5549F">
        <w:rPr>
          <w:b/>
          <w:noProof/>
          <w:sz w:val="24"/>
        </w:rPr>
        <w:t>-bis-</w:t>
      </w:r>
      <w:r>
        <w:rPr>
          <w:b/>
          <w:noProof/>
          <w:sz w:val="24"/>
        </w:rPr>
        <w:t>e</w:t>
      </w:r>
      <w:r>
        <w:rPr>
          <w:b/>
          <w:i/>
          <w:noProof/>
          <w:sz w:val="28"/>
        </w:rPr>
        <w:tab/>
      </w:r>
      <w:r w:rsidRPr="00E22E36">
        <w:rPr>
          <w:b/>
          <w:noProof/>
          <w:sz w:val="24"/>
        </w:rPr>
        <w:t>R4-</w:t>
      </w:r>
      <w:r w:rsidR="00E5549F" w:rsidRPr="00E22E36">
        <w:rPr>
          <w:b/>
          <w:noProof/>
          <w:sz w:val="24"/>
        </w:rPr>
        <w:t>2</w:t>
      </w:r>
      <w:r w:rsidR="00E5549F">
        <w:rPr>
          <w:b/>
          <w:noProof/>
          <w:sz w:val="24"/>
        </w:rPr>
        <w:t>1</w:t>
      </w:r>
      <w:r w:rsidR="00E5549F">
        <w:rPr>
          <w:b/>
          <w:noProof/>
          <w:sz w:val="24"/>
        </w:rPr>
        <w:t>04835</w:t>
      </w:r>
    </w:p>
    <w:p w14:paraId="15F253C1" w14:textId="5AC99257" w:rsidR="00C82158" w:rsidRDefault="0098459B" w:rsidP="00C82158">
      <w:pPr>
        <w:pStyle w:val="CRCoverPage"/>
        <w:outlineLvl w:val="0"/>
        <w:rPr>
          <w:b/>
          <w:noProof/>
          <w:sz w:val="24"/>
        </w:rPr>
      </w:pPr>
      <w:r>
        <w:fldChar w:fldCharType="begin"/>
      </w:r>
      <w:r>
        <w:instrText xml:space="preserve"> DOCPROPERTY  Location  \* MERGEFORMAT </w:instrText>
      </w:r>
      <w:r>
        <w:fldChar w:fldCharType="separate"/>
      </w:r>
      <w:r w:rsidR="00C82158" w:rsidRPr="00BA51D9">
        <w:rPr>
          <w:b/>
          <w:noProof/>
          <w:sz w:val="24"/>
        </w:rPr>
        <w:t>Online</w:t>
      </w:r>
      <w:r>
        <w:rPr>
          <w:b/>
          <w:noProof/>
          <w:sz w:val="24"/>
        </w:rPr>
        <w:fldChar w:fldCharType="end"/>
      </w:r>
      <w:r w:rsidR="00C82158">
        <w:rPr>
          <w:b/>
          <w:noProof/>
          <w:sz w:val="24"/>
        </w:rPr>
        <w:t xml:space="preserve">, </w:t>
      </w:r>
      <w:r w:rsidR="00C82158">
        <w:fldChar w:fldCharType="begin"/>
      </w:r>
      <w:r w:rsidR="00C82158">
        <w:instrText xml:space="preserve"> DOCPROPERTY  Country  \* MERGEFORMAT </w:instrText>
      </w:r>
      <w:r w:rsidR="00C82158">
        <w:fldChar w:fldCharType="end"/>
      </w:r>
      <w:r>
        <w:fldChar w:fldCharType="begin"/>
      </w:r>
      <w:r>
        <w:instrText xml:space="preserve"> DOCPROPERTY  StartDate  \* MERGEFORMAT </w:instrText>
      </w:r>
      <w:r>
        <w:fldChar w:fldCharType="separate"/>
      </w:r>
      <w:r w:rsidR="00C82158">
        <w:rPr>
          <w:b/>
          <w:noProof/>
          <w:sz w:val="24"/>
        </w:rPr>
        <w:t>Apr. 12 - 20,</w:t>
      </w:r>
      <w:r w:rsidR="00C82158" w:rsidRPr="00BA51D9">
        <w:rPr>
          <w:b/>
          <w:noProof/>
          <w:sz w:val="24"/>
        </w:rPr>
        <w:t xml:space="preserve"> 20</w:t>
      </w:r>
      <w:r w:rsidR="00C82158">
        <w:rPr>
          <w:b/>
          <w:noProof/>
          <w:sz w:val="24"/>
        </w:rPr>
        <w:t>21</w:t>
      </w:r>
      <w:r>
        <w:rPr>
          <w:b/>
          <w:noProof/>
          <w:sz w:val="24"/>
        </w:rPr>
        <w:fldChar w:fldCharType="end"/>
      </w:r>
    </w:p>
    <w:p w14:paraId="39A0EE25" w14:textId="01FFEF2C" w:rsidR="00D309CC" w:rsidRDefault="00D46431" w:rsidP="00C82158">
      <w:pPr>
        <w:pStyle w:val="CH"/>
        <w:tabs>
          <w:tab w:val="clear" w:pos="7920"/>
        </w:tabs>
        <w:rPr>
          <w:b w:val="0"/>
        </w:rPr>
      </w:pPr>
      <w:r>
        <w:tab/>
      </w:r>
    </w:p>
    <w:p w14:paraId="6DDCE159" w14:textId="0910FF69" w:rsidR="00D309CC" w:rsidRPr="0008103A" w:rsidRDefault="00D309CC" w:rsidP="00D309CC">
      <w:pPr>
        <w:pStyle w:val="CH"/>
        <w:rPr>
          <w:b w:val="0"/>
        </w:rPr>
      </w:pPr>
      <w:r w:rsidRPr="0008103A">
        <w:t>Agenda item:</w:t>
      </w:r>
      <w:r>
        <w:tab/>
      </w:r>
      <w:r w:rsidR="00C82158">
        <w:t>8.12.6</w:t>
      </w:r>
    </w:p>
    <w:p w14:paraId="4DBE005A" w14:textId="77777777" w:rsidR="00D309CC" w:rsidRPr="0008103A" w:rsidRDefault="00D309CC" w:rsidP="00D309CC">
      <w:pPr>
        <w:pStyle w:val="CH"/>
        <w:rPr>
          <w:b w:val="0"/>
        </w:rPr>
      </w:pPr>
      <w:r>
        <w:t>Source:</w:t>
      </w:r>
      <w:r>
        <w:tab/>
        <w:t>Apple Inc.</w:t>
      </w:r>
    </w:p>
    <w:p w14:paraId="0D2061A1" w14:textId="37F09C87" w:rsidR="00D309CC" w:rsidRDefault="00D309CC" w:rsidP="00112D80">
      <w:pPr>
        <w:pStyle w:val="CH"/>
        <w:ind w:left="2268" w:hanging="2268"/>
      </w:pPr>
      <w:r w:rsidRPr="0008103A">
        <w:t>Title:</w:t>
      </w:r>
      <w:r w:rsidRPr="0008103A">
        <w:tab/>
      </w:r>
      <w:r w:rsidR="00300BA9">
        <w:t>On</w:t>
      </w:r>
      <w:r w:rsidR="00A255D6" w:rsidRPr="00A255D6">
        <w:t xml:space="preserve"> the frequency range </w:t>
      </w:r>
      <w:r w:rsidR="00D857BA">
        <w:t xml:space="preserve">of </w:t>
      </w:r>
      <w:r w:rsidR="00A255D6" w:rsidRPr="00A255D6">
        <w:t>52.6 GHz to 71 GHz</w:t>
      </w:r>
    </w:p>
    <w:p w14:paraId="052B1E0C" w14:textId="0C8D921B" w:rsidR="00104BC6" w:rsidRDefault="00104BC6" w:rsidP="00D309CC">
      <w:pPr>
        <w:pStyle w:val="CH"/>
      </w:pPr>
      <w:r>
        <w:t>WI/SI:</w:t>
      </w:r>
      <w:r>
        <w:tab/>
      </w:r>
      <w:r w:rsidR="00112D80" w:rsidRPr="00112D80">
        <w:t>FS_NR_52_to_71GHz</w:t>
      </w:r>
    </w:p>
    <w:p w14:paraId="6C6D1281" w14:textId="205E24E7" w:rsidR="00104BC6" w:rsidRDefault="00104BC6" w:rsidP="00D309CC">
      <w:pPr>
        <w:pStyle w:val="CH"/>
        <w:rPr>
          <w:b w:val="0"/>
        </w:rPr>
      </w:pPr>
      <w:r>
        <w:t>Release:</w:t>
      </w:r>
      <w:r>
        <w:tab/>
      </w:r>
      <w:r w:rsidRPr="00112D80">
        <w:t>Rel-</w:t>
      </w:r>
      <w:r w:rsidR="00112D80" w:rsidRPr="00112D80">
        <w:t>17</w:t>
      </w:r>
    </w:p>
    <w:p w14:paraId="2E4E044D" w14:textId="0BD8F9AD" w:rsidR="00D309CC" w:rsidRDefault="00D309CC" w:rsidP="00D309CC">
      <w:pPr>
        <w:pStyle w:val="CH"/>
      </w:pPr>
      <w:r>
        <w:t>Document for:</w:t>
      </w:r>
      <w:r>
        <w:tab/>
      </w:r>
      <w:r w:rsidR="00262167">
        <w:t>App</w:t>
      </w:r>
      <w:r w:rsidR="00D857BA">
        <w:t>r</w:t>
      </w:r>
      <w:r w:rsidR="00262167">
        <w:t>oval</w:t>
      </w:r>
    </w:p>
    <w:p w14:paraId="0207DB43" w14:textId="77777777" w:rsidR="00D46431" w:rsidRPr="0008103A" w:rsidRDefault="00D46431" w:rsidP="00D309CC">
      <w:pPr>
        <w:pStyle w:val="CH"/>
        <w:rPr>
          <w:b w:val="0"/>
        </w:rPr>
      </w:pPr>
    </w:p>
    <w:p w14:paraId="0273524A" w14:textId="0A1A91E8" w:rsidR="008E7986" w:rsidRDefault="008E7986" w:rsidP="00E22E04">
      <w:pPr>
        <w:pStyle w:val="Heading1"/>
        <w:numPr>
          <w:ilvl w:val="0"/>
          <w:numId w:val="15"/>
        </w:numPr>
      </w:pPr>
      <w:r w:rsidRPr="004D3578">
        <w:t>Introduction</w:t>
      </w:r>
      <w:r>
        <w:t xml:space="preserve"> </w:t>
      </w:r>
    </w:p>
    <w:p w14:paraId="52B5588C" w14:textId="790BBC56" w:rsidR="00E22E04" w:rsidRDefault="00DD03DF" w:rsidP="00DD03DF">
      <w:pPr>
        <w:pStyle w:val="B1"/>
        <w:overflowPunct w:val="0"/>
        <w:autoSpaceDE w:val="0"/>
        <w:autoSpaceDN w:val="0"/>
        <w:adjustRightInd w:val="0"/>
        <w:spacing w:before="180" w:after="180"/>
        <w:ind w:left="0" w:firstLine="0"/>
        <w:textAlignment w:val="baseline"/>
        <w:rPr>
          <w:sz w:val="20"/>
          <w:szCs w:val="20"/>
          <w:lang w:eastAsia="ja-JP"/>
        </w:rPr>
      </w:pPr>
      <w:r>
        <w:rPr>
          <w:sz w:val="20"/>
          <w:szCs w:val="20"/>
          <w:lang w:eastAsia="ja-JP"/>
        </w:rPr>
        <w:t xml:space="preserve">In RAN#90e, it was agreed in the revised WID [1] that </w:t>
      </w:r>
    </w:p>
    <w:p w14:paraId="52FAACDF" w14:textId="77777777" w:rsidR="00E22E04" w:rsidRPr="00C82158" w:rsidRDefault="00E22E04" w:rsidP="00262167">
      <w:pPr>
        <w:pStyle w:val="B2"/>
        <w:ind w:left="284" w:firstLine="0"/>
        <w:rPr>
          <w:i/>
          <w:iCs/>
          <w:sz w:val="20"/>
          <w:szCs w:val="20"/>
        </w:rPr>
      </w:pPr>
      <w:bookmarkStart w:id="1" w:name="_Hlk58594589"/>
      <w:r w:rsidRPr="00C82158">
        <w:rPr>
          <w:rFonts w:hint="eastAsia"/>
          <w:i/>
          <w:iCs/>
          <w:sz w:val="20"/>
          <w:szCs w:val="20"/>
          <w:highlight w:val="yellow"/>
        </w:rPr>
        <w:t>Note</w:t>
      </w:r>
      <w:r w:rsidRPr="00C82158">
        <w:rPr>
          <w:i/>
          <w:iCs/>
          <w:sz w:val="20"/>
          <w:szCs w:val="20"/>
          <w:highlight w:val="yellow"/>
        </w:rPr>
        <w:t xml:space="preserve"> 5</w:t>
      </w:r>
      <w:r w:rsidRPr="00C82158">
        <w:rPr>
          <w:rFonts w:hint="eastAsia"/>
          <w:i/>
          <w:iCs/>
          <w:sz w:val="20"/>
          <w:szCs w:val="20"/>
          <w:highlight w:val="yellow"/>
        </w:rPr>
        <w:t xml:space="preserve">: RAN plenary will decide </w:t>
      </w:r>
      <w:bookmarkEnd w:id="1"/>
      <w:r w:rsidRPr="00C82158">
        <w:rPr>
          <w:rFonts w:hint="eastAsia"/>
          <w:i/>
          <w:iCs/>
          <w:sz w:val="20"/>
          <w:szCs w:val="20"/>
          <w:highlight w:val="yellow"/>
        </w:rPr>
        <w:t>whether new FR (e.g. FR3) shall be defined for the frequency range from 52.6GHz-71GHz or the existing FR2 shall be extended to cover frequency range from 52.6GHz-71GHz.</w:t>
      </w:r>
    </w:p>
    <w:p w14:paraId="527914AA" w14:textId="0FD055A0" w:rsidR="00E22E04" w:rsidRPr="00E22E04" w:rsidRDefault="00E22E04" w:rsidP="00E22E04">
      <w:pPr>
        <w:rPr>
          <w:lang w:eastAsia="en-US"/>
        </w:rPr>
      </w:pPr>
    </w:p>
    <w:p w14:paraId="6913FB29" w14:textId="2EDB3950" w:rsidR="00DD03DF" w:rsidRDefault="00DD03DF" w:rsidP="00112A20">
      <w:pPr>
        <w:spacing w:before="100" w:beforeAutospacing="1" w:after="100" w:afterAutospacing="1"/>
        <w:rPr>
          <w:sz w:val="20"/>
          <w:szCs w:val="20"/>
        </w:rPr>
      </w:pPr>
      <w:r>
        <w:rPr>
          <w:sz w:val="20"/>
          <w:szCs w:val="20"/>
        </w:rPr>
        <w:t xml:space="preserve">Such decision made is mainly from the consideration of </w:t>
      </w:r>
      <w:r w:rsidRPr="00DD03DF">
        <w:rPr>
          <w:sz w:val="20"/>
          <w:szCs w:val="20"/>
        </w:rPr>
        <w:t>RAN4’s workload</w:t>
      </w:r>
      <w:r>
        <w:rPr>
          <w:sz w:val="20"/>
          <w:szCs w:val="20"/>
        </w:rPr>
        <w:t xml:space="preserve">. The related issues have been discussed in both RAN#90e and RAN4#98e and opinions from interested companies are quite diverged. </w:t>
      </w:r>
    </w:p>
    <w:p w14:paraId="2120C82A" w14:textId="6F50ACD5" w:rsidR="00C82158" w:rsidRDefault="00C82158" w:rsidP="00112A20">
      <w:pPr>
        <w:spacing w:before="100" w:beforeAutospacing="1" w:after="100" w:afterAutospacing="1"/>
        <w:rPr>
          <w:sz w:val="20"/>
          <w:szCs w:val="20"/>
        </w:rPr>
      </w:pPr>
      <w:r>
        <w:rPr>
          <w:sz w:val="20"/>
          <w:szCs w:val="20"/>
        </w:rPr>
        <w:t xml:space="preserve">In RAN#91e, this issue is further discussed and it is agreed that </w:t>
      </w:r>
    </w:p>
    <w:p w14:paraId="32996118" w14:textId="689BD0A8" w:rsidR="00C82158" w:rsidRPr="00C82158" w:rsidRDefault="00C82158" w:rsidP="00C82158">
      <w:pPr>
        <w:spacing w:before="100" w:beforeAutospacing="1" w:after="100" w:afterAutospacing="1"/>
        <w:ind w:left="284"/>
        <w:rPr>
          <w:i/>
          <w:iCs/>
          <w:sz w:val="20"/>
          <w:szCs w:val="20"/>
        </w:rPr>
      </w:pPr>
      <w:r w:rsidRPr="00C82158">
        <w:rPr>
          <w:i/>
          <w:iCs/>
          <w:sz w:val="20"/>
          <w:szCs w:val="20"/>
          <w:highlight w:val="yellow"/>
        </w:rPr>
        <w:t>As an agreement in RAN#91e, RAN1, RAN2 and RAN4 are asked to provide its analysis or recommendation to RAN#92E (June) on how to introduce the 52.6-71GHz frequency range</w:t>
      </w:r>
    </w:p>
    <w:p w14:paraId="1690F9A4" w14:textId="6C70D672" w:rsidR="00C82158" w:rsidRDefault="00C82158" w:rsidP="00112A20">
      <w:pPr>
        <w:spacing w:before="100" w:beforeAutospacing="1" w:after="100" w:afterAutospacing="1"/>
        <w:rPr>
          <w:sz w:val="20"/>
          <w:szCs w:val="20"/>
        </w:rPr>
      </w:pPr>
      <w:r>
        <w:rPr>
          <w:sz w:val="20"/>
          <w:szCs w:val="20"/>
        </w:rPr>
        <w:t>Based on the discussion in RAN#91e, the possible options include</w:t>
      </w:r>
    </w:p>
    <w:p w14:paraId="04CA359E" w14:textId="2B32720E" w:rsidR="00C82158" w:rsidRDefault="00C82158" w:rsidP="00C82158">
      <w:pPr>
        <w:pStyle w:val="ListParagraph"/>
        <w:numPr>
          <w:ilvl w:val="0"/>
          <w:numId w:val="21"/>
        </w:numPr>
        <w:spacing w:before="100" w:beforeAutospacing="1" w:after="100" w:afterAutospacing="1"/>
        <w:rPr>
          <w:sz w:val="20"/>
          <w:szCs w:val="20"/>
        </w:rPr>
      </w:pPr>
      <w:r>
        <w:rPr>
          <w:sz w:val="20"/>
          <w:szCs w:val="20"/>
        </w:rPr>
        <w:t>Option 1: r</w:t>
      </w:r>
      <w:r w:rsidRPr="00C82158">
        <w:rPr>
          <w:sz w:val="20"/>
          <w:szCs w:val="20"/>
        </w:rPr>
        <w:t>eus</w:t>
      </w:r>
      <w:r>
        <w:rPr>
          <w:sz w:val="20"/>
          <w:szCs w:val="20"/>
        </w:rPr>
        <w:t>e</w:t>
      </w:r>
      <w:r w:rsidRPr="00C82158">
        <w:rPr>
          <w:sz w:val="20"/>
          <w:szCs w:val="20"/>
        </w:rPr>
        <w:t xml:space="preserve"> FR2 </w:t>
      </w:r>
      <w:r w:rsidR="00324054">
        <w:rPr>
          <w:sz w:val="20"/>
          <w:szCs w:val="20"/>
        </w:rPr>
        <w:t>to</w:t>
      </w:r>
      <w:r w:rsidR="00324054" w:rsidRPr="00C82158">
        <w:rPr>
          <w:sz w:val="20"/>
          <w:szCs w:val="20"/>
        </w:rPr>
        <w:t xml:space="preserve"> </w:t>
      </w:r>
      <w:r w:rsidRPr="00C82158">
        <w:rPr>
          <w:sz w:val="20"/>
          <w:szCs w:val="20"/>
        </w:rPr>
        <w:t>cover the new frequency range 52.6-71GHz</w:t>
      </w:r>
    </w:p>
    <w:p w14:paraId="097CF927" w14:textId="4811C140" w:rsidR="00C82158" w:rsidRDefault="00C82158" w:rsidP="00C82158">
      <w:pPr>
        <w:pStyle w:val="ListParagraph"/>
        <w:numPr>
          <w:ilvl w:val="0"/>
          <w:numId w:val="21"/>
        </w:numPr>
        <w:spacing w:before="100" w:beforeAutospacing="1" w:after="100" w:afterAutospacing="1"/>
        <w:rPr>
          <w:sz w:val="20"/>
          <w:szCs w:val="20"/>
        </w:rPr>
      </w:pPr>
      <w:r>
        <w:rPr>
          <w:sz w:val="20"/>
          <w:szCs w:val="20"/>
        </w:rPr>
        <w:t xml:space="preserve">Option 2: </w:t>
      </w:r>
      <w:r w:rsidRPr="00C82158">
        <w:rPr>
          <w:sz w:val="20"/>
          <w:szCs w:val="20"/>
        </w:rPr>
        <w:t>introduc</w:t>
      </w:r>
      <w:r>
        <w:rPr>
          <w:sz w:val="20"/>
          <w:szCs w:val="20"/>
        </w:rPr>
        <w:t>e</w:t>
      </w:r>
      <w:r w:rsidRPr="00C82158">
        <w:rPr>
          <w:sz w:val="20"/>
          <w:szCs w:val="20"/>
        </w:rPr>
        <w:t xml:space="preserve"> new FR3</w:t>
      </w:r>
      <w:r>
        <w:rPr>
          <w:sz w:val="20"/>
          <w:szCs w:val="20"/>
        </w:rPr>
        <w:t xml:space="preserve"> </w:t>
      </w:r>
      <w:r w:rsidRPr="00C82158">
        <w:rPr>
          <w:sz w:val="20"/>
          <w:szCs w:val="20"/>
        </w:rPr>
        <w:t>for the new frequency range 52.6-71GHz</w:t>
      </w:r>
    </w:p>
    <w:p w14:paraId="64551521" w14:textId="77777777" w:rsidR="00C82158" w:rsidRDefault="00C82158" w:rsidP="00C82158">
      <w:pPr>
        <w:pStyle w:val="ListParagraph"/>
        <w:numPr>
          <w:ilvl w:val="0"/>
          <w:numId w:val="21"/>
        </w:numPr>
        <w:spacing w:before="100" w:beforeAutospacing="1" w:after="100" w:afterAutospacing="1"/>
        <w:rPr>
          <w:sz w:val="20"/>
          <w:szCs w:val="20"/>
        </w:rPr>
      </w:pPr>
      <w:r>
        <w:rPr>
          <w:sz w:val="20"/>
          <w:szCs w:val="20"/>
        </w:rPr>
        <w:t>Option 3a: introduce</w:t>
      </w:r>
      <w:r w:rsidRPr="00C82158">
        <w:rPr>
          <w:sz w:val="20"/>
          <w:szCs w:val="20"/>
        </w:rPr>
        <w:t xml:space="preserve"> new FR2a and FR2b notation for 24.25-52.6GHz, 52.6-71GHz, respectively</w:t>
      </w:r>
    </w:p>
    <w:p w14:paraId="3FDFB4BF" w14:textId="782E14B8" w:rsidR="00C82158" w:rsidRPr="00C82158" w:rsidRDefault="00C82158" w:rsidP="00AD2198">
      <w:pPr>
        <w:pStyle w:val="ListParagraph"/>
        <w:numPr>
          <w:ilvl w:val="0"/>
          <w:numId w:val="21"/>
        </w:numPr>
        <w:spacing w:before="100" w:beforeAutospacing="1" w:after="100" w:afterAutospacing="1"/>
        <w:rPr>
          <w:sz w:val="20"/>
          <w:szCs w:val="20"/>
        </w:rPr>
      </w:pPr>
      <w:r w:rsidRPr="00C82158">
        <w:rPr>
          <w:sz w:val="20"/>
          <w:szCs w:val="20"/>
        </w:rPr>
        <w:t>Option 3b: keep FR2 notation for 24.25-52.6GHz and introduce a new notation FR2a notation for 52.6-71GHz</w:t>
      </w:r>
    </w:p>
    <w:p w14:paraId="454200A4" w14:textId="05FADA45" w:rsidR="00112A20" w:rsidRDefault="00DD03DF" w:rsidP="00112A20">
      <w:pPr>
        <w:spacing w:before="100" w:beforeAutospacing="1" w:after="100" w:afterAutospacing="1"/>
      </w:pPr>
      <w:r>
        <w:rPr>
          <w:sz w:val="20"/>
          <w:szCs w:val="20"/>
        </w:rPr>
        <w:t xml:space="preserve">In this contribution, we outline the </w:t>
      </w:r>
      <w:r w:rsidR="00C82158">
        <w:rPr>
          <w:sz w:val="20"/>
          <w:szCs w:val="20"/>
        </w:rPr>
        <w:t>pro</w:t>
      </w:r>
      <w:r w:rsidR="00324054">
        <w:rPr>
          <w:sz w:val="20"/>
          <w:szCs w:val="20"/>
        </w:rPr>
        <w:t>s</w:t>
      </w:r>
      <w:r w:rsidR="00C82158">
        <w:rPr>
          <w:sz w:val="20"/>
          <w:szCs w:val="20"/>
        </w:rPr>
        <w:t xml:space="preserve"> and con</w:t>
      </w:r>
      <w:r w:rsidR="00324054">
        <w:rPr>
          <w:sz w:val="20"/>
          <w:szCs w:val="20"/>
        </w:rPr>
        <w:t>s</w:t>
      </w:r>
      <w:r w:rsidR="00C82158">
        <w:rPr>
          <w:sz w:val="20"/>
          <w:szCs w:val="20"/>
        </w:rPr>
        <w:t xml:space="preserve"> of these options and the related </w:t>
      </w:r>
      <w:r>
        <w:rPr>
          <w:sz w:val="20"/>
          <w:szCs w:val="20"/>
        </w:rPr>
        <w:t xml:space="preserve">impacts </w:t>
      </w:r>
      <w:r w:rsidR="00C82158">
        <w:rPr>
          <w:sz w:val="20"/>
          <w:szCs w:val="20"/>
        </w:rPr>
        <w:t>upon</w:t>
      </w:r>
      <w:r>
        <w:rPr>
          <w:sz w:val="20"/>
          <w:szCs w:val="20"/>
        </w:rPr>
        <w:t xml:space="preserve"> the potential decision made </w:t>
      </w:r>
      <w:r w:rsidR="00C82158">
        <w:rPr>
          <w:sz w:val="20"/>
          <w:szCs w:val="20"/>
        </w:rPr>
        <w:t>among the options</w:t>
      </w:r>
      <w:r>
        <w:rPr>
          <w:sz w:val="20"/>
          <w:szCs w:val="20"/>
        </w:rPr>
        <w:t xml:space="preserve">. </w:t>
      </w:r>
    </w:p>
    <w:p w14:paraId="29949B68" w14:textId="70A498DA" w:rsidR="00C82158" w:rsidRDefault="00C82158" w:rsidP="00C82158">
      <w:pPr>
        <w:pStyle w:val="Heading1"/>
        <w:rPr>
          <w:lang w:val="en-US"/>
        </w:rPr>
      </w:pPr>
      <w:r>
        <w:t>2</w:t>
      </w:r>
      <w:r>
        <w:tab/>
        <w:t>On the options to define</w:t>
      </w:r>
      <w:r w:rsidRPr="00300BA9">
        <w:rPr>
          <w:lang w:val="en-US"/>
        </w:rPr>
        <w:t xml:space="preserve"> the frequency range 52.6 GHz to 71 GHz</w:t>
      </w:r>
    </w:p>
    <w:p w14:paraId="7588CBCB" w14:textId="683F998A" w:rsidR="00C82158" w:rsidRDefault="00C82158" w:rsidP="00C82158">
      <w:pPr>
        <w:rPr>
          <w:sz w:val="20"/>
          <w:szCs w:val="20"/>
          <w:lang w:eastAsia="en-US"/>
        </w:rPr>
      </w:pPr>
      <w:r w:rsidRPr="00C82158">
        <w:rPr>
          <w:sz w:val="20"/>
          <w:szCs w:val="20"/>
          <w:lang w:eastAsia="en-US"/>
        </w:rPr>
        <w:t>In this section</w:t>
      </w:r>
      <w:r>
        <w:rPr>
          <w:sz w:val="20"/>
          <w:szCs w:val="20"/>
          <w:lang w:eastAsia="en-US"/>
        </w:rPr>
        <w:t>, the pro</w:t>
      </w:r>
      <w:r w:rsidR="00324054">
        <w:rPr>
          <w:sz w:val="20"/>
          <w:szCs w:val="20"/>
          <w:lang w:eastAsia="en-US"/>
        </w:rPr>
        <w:t>s</w:t>
      </w:r>
      <w:r>
        <w:rPr>
          <w:sz w:val="20"/>
          <w:szCs w:val="20"/>
          <w:lang w:eastAsia="en-US"/>
        </w:rPr>
        <w:t xml:space="preserve"> and con</w:t>
      </w:r>
      <w:r w:rsidR="00324054">
        <w:rPr>
          <w:sz w:val="20"/>
          <w:szCs w:val="20"/>
          <w:lang w:eastAsia="en-US"/>
        </w:rPr>
        <w:t>s</w:t>
      </w:r>
      <w:r>
        <w:rPr>
          <w:sz w:val="20"/>
          <w:szCs w:val="20"/>
          <w:lang w:eastAsia="en-US"/>
        </w:rPr>
        <w:t xml:space="preserve"> of different options are outlined</w:t>
      </w:r>
    </w:p>
    <w:p w14:paraId="419C31E1" w14:textId="20326F10" w:rsidR="00C82158" w:rsidRDefault="00C82158" w:rsidP="00C82158">
      <w:pPr>
        <w:rPr>
          <w:sz w:val="20"/>
          <w:szCs w:val="20"/>
          <w:lang w:eastAsia="en-US"/>
        </w:rPr>
      </w:pPr>
    </w:p>
    <w:tbl>
      <w:tblPr>
        <w:tblStyle w:val="TableGrid"/>
        <w:tblW w:w="0" w:type="auto"/>
        <w:tblLook w:val="04A0" w:firstRow="1" w:lastRow="0" w:firstColumn="1" w:lastColumn="0" w:noHBand="0" w:noVBand="1"/>
      </w:tblPr>
      <w:tblGrid>
        <w:gridCol w:w="3210"/>
        <w:gridCol w:w="3210"/>
        <w:gridCol w:w="3211"/>
      </w:tblGrid>
      <w:tr w:rsidR="00C82158" w14:paraId="6ACE9B06" w14:textId="77777777" w:rsidTr="00C82158">
        <w:tc>
          <w:tcPr>
            <w:tcW w:w="3210" w:type="dxa"/>
          </w:tcPr>
          <w:p w14:paraId="3DEBB370" w14:textId="77777777" w:rsidR="00C82158" w:rsidRDefault="00C82158" w:rsidP="00C82158">
            <w:pPr>
              <w:rPr>
                <w:sz w:val="20"/>
                <w:szCs w:val="20"/>
                <w:lang w:eastAsia="en-US"/>
              </w:rPr>
            </w:pPr>
          </w:p>
        </w:tc>
        <w:tc>
          <w:tcPr>
            <w:tcW w:w="3210" w:type="dxa"/>
          </w:tcPr>
          <w:p w14:paraId="164FA6AF" w14:textId="6AF2213E" w:rsidR="00C82158" w:rsidRDefault="00C82158" w:rsidP="00C82158">
            <w:pPr>
              <w:rPr>
                <w:sz w:val="20"/>
                <w:szCs w:val="20"/>
                <w:lang w:eastAsia="en-US"/>
              </w:rPr>
            </w:pPr>
            <w:r>
              <w:rPr>
                <w:sz w:val="20"/>
                <w:szCs w:val="20"/>
                <w:lang w:eastAsia="en-US"/>
              </w:rPr>
              <w:t>Pro</w:t>
            </w:r>
            <w:r w:rsidR="00324054">
              <w:rPr>
                <w:sz w:val="20"/>
                <w:szCs w:val="20"/>
                <w:lang w:eastAsia="en-US"/>
              </w:rPr>
              <w:t>s</w:t>
            </w:r>
          </w:p>
        </w:tc>
        <w:tc>
          <w:tcPr>
            <w:tcW w:w="3211" w:type="dxa"/>
          </w:tcPr>
          <w:p w14:paraId="08BA36A2" w14:textId="65F226C1" w:rsidR="00C82158" w:rsidRDefault="00C82158" w:rsidP="00C82158">
            <w:pPr>
              <w:rPr>
                <w:sz w:val="20"/>
                <w:szCs w:val="20"/>
                <w:lang w:eastAsia="en-US"/>
              </w:rPr>
            </w:pPr>
            <w:r>
              <w:rPr>
                <w:sz w:val="20"/>
                <w:szCs w:val="20"/>
                <w:lang w:eastAsia="en-US"/>
              </w:rPr>
              <w:t>Con</w:t>
            </w:r>
            <w:r w:rsidR="00324054">
              <w:rPr>
                <w:sz w:val="20"/>
                <w:szCs w:val="20"/>
                <w:lang w:eastAsia="en-US"/>
              </w:rPr>
              <w:t>s</w:t>
            </w:r>
          </w:p>
        </w:tc>
      </w:tr>
      <w:tr w:rsidR="00C82158" w14:paraId="51F39457" w14:textId="77777777" w:rsidTr="00C82158">
        <w:tc>
          <w:tcPr>
            <w:tcW w:w="3210" w:type="dxa"/>
          </w:tcPr>
          <w:p w14:paraId="03AD677E" w14:textId="77777777" w:rsidR="00C82158" w:rsidRPr="00C82158" w:rsidRDefault="00C82158" w:rsidP="00C82158">
            <w:pPr>
              <w:rPr>
                <w:sz w:val="20"/>
                <w:szCs w:val="20"/>
                <w:lang w:eastAsia="en-US"/>
              </w:rPr>
            </w:pPr>
            <w:r w:rsidRPr="00C82158">
              <w:rPr>
                <w:sz w:val="20"/>
                <w:szCs w:val="20"/>
                <w:lang w:eastAsia="en-US"/>
              </w:rPr>
              <w:t>Option 1: reuse FR2 for cover the new frequency range 52.6-71GHz</w:t>
            </w:r>
          </w:p>
          <w:p w14:paraId="131E1B89" w14:textId="77777777" w:rsidR="00C82158" w:rsidRDefault="00C82158" w:rsidP="00C82158">
            <w:pPr>
              <w:rPr>
                <w:sz w:val="20"/>
                <w:szCs w:val="20"/>
                <w:lang w:eastAsia="en-US"/>
              </w:rPr>
            </w:pPr>
          </w:p>
        </w:tc>
        <w:tc>
          <w:tcPr>
            <w:tcW w:w="3210" w:type="dxa"/>
          </w:tcPr>
          <w:p w14:paraId="05130F0B" w14:textId="2EEDFDE8" w:rsidR="00C82158" w:rsidRPr="00C82158" w:rsidRDefault="00C82158" w:rsidP="00C82158">
            <w:pPr>
              <w:pStyle w:val="ListParagraph"/>
              <w:numPr>
                <w:ilvl w:val="0"/>
                <w:numId w:val="24"/>
              </w:numPr>
              <w:rPr>
                <w:sz w:val="20"/>
                <w:szCs w:val="20"/>
                <w:lang w:eastAsia="en-US"/>
              </w:rPr>
            </w:pPr>
            <w:r w:rsidRPr="00C82158">
              <w:rPr>
                <w:sz w:val="20"/>
                <w:szCs w:val="20"/>
                <w:lang w:eastAsia="en-US"/>
              </w:rPr>
              <w:t xml:space="preserve">Easy for spec maintenance if majority of existing FR2 requirements and features can be reused. </w:t>
            </w:r>
          </w:p>
        </w:tc>
        <w:tc>
          <w:tcPr>
            <w:tcW w:w="3211" w:type="dxa"/>
          </w:tcPr>
          <w:p w14:paraId="4734DC48" w14:textId="3B17D9FB" w:rsidR="00C82158" w:rsidRPr="00C82158" w:rsidRDefault="005C6551" w:rsidP="00C82158">
            <w:pPr>
              <w:pStyle w:val="ListParagraph"/>
              <w:numPr>
                <w:ilvl w:val="0"/>
                <w:numId w:val="24"/>
              </w:numPr>
              <w:rPr>
                <w:sz w:val="20"/>
                <w:szCs w:val="20"/>
                <w:lang w:eastAsia="en-US"/>
              </w:rPr>
            </w:pPr>
            <w:r>
              <w:rPr>
                <w:sz w:val="20"/>
                <w:szCs w:val="20"/>
                <w:lang w:eastAsia="en-US"/>
              </w:rPr>
              <w:t>It is difficult to handle</w:t>
            </w:r>
            <w:r w:rsidR="00C82158" w:rsidRPr="00C82158">
              <w:rPr>
                <w:sz w:val="20"/>
                <w:szCs w:val="20"/>
                <w:lang w:eastAsia="en-US"/>
              </w:rPr>
              <w:t xml:space="preserve"> </w:t>
            </w:r>
            <w:r>
              <w:rPr>
                <w:sz w:val="20"/>
                <w:szCs w:val="20"/>
                <w:lang w:eastAsia="en-US"/>
              </w:rPr>
              <w:t>the</w:t>
            </w:r>
            <w:r w:rsidR="00C82158" w:rsidRPr="00C82158">
              <w:rPr>
                <w:sz w:val="20"/>
                <w:szCs w:val="20"/>
                <w:lang w:eastAsia="en-US"/>
              </w:rPr>
              <w:t xml:space="preserve"> existing FR2 requirements </w:t>
            </w:r>
            <w:r>
              <w:rPr>
                <w:sz w:val="20"/>
                <w:szCs w:val="20"/>
                <w:lang w:eastAsia="en-US"/>
              </w:rPr>
              <w:t xml:space="preserve">which </w:t>
            </w:r>
            <w:r w:rsidR="00C82158" w:rsidRPr="00C82158">
              <w:rPr>
                <w:sz w:val="20"/>
                <w:szCs w:val="20"/>
                <w:lang w:eastAsia="en-US"/>
              </w:rPr>
              <w:t>cannot be extended to 52.6-71GHz</w:t>
            </w:r>
          </w:p>
        </w:tc>
      </w:tr>
      <w:tr w:rsidR="00C82158" w14:paraId="6EED4248" w14:textId="77777777" w:rsidTr="00C82158">
        <w:tc>
          <w:tcPr>
            <w:tcW w:w="3210" w:type="dxa"/>
          </w:tcPr>
          <w:p w14:paraId="5E04D53F" w14:textId="77777777" w:rsidR="00C82158" w:rsidRPr="00C82158" w:rsidRDefault="00C82158" w:rsidP="00C82158">
            <w:pPr>
              <w:rPr>
                <w:sz w:val="20"/>
                <w:szCs w:val="20"/>
                <w:lang w:eastAsia="en-US"/>
              </w:rPr>
            </w:pPr>
            <w:r w:rsidRPr="00C82158">
              <w:rPr>
                <w:sz w:val="20"/>
                <w:szCs w:val="20"/>
                <w:lang w:eastAsia="en-US"/>
              </w:rPr>
              <w:t>Option 2: introduce new FR3 for the new frequency range 52.6-71GHz</w:t>
            </w:r>
          </w:p>
          <w:p w14:paraId="088EB3D0" w14:textId="77777777" w:rsidR="00C82158" w:rsidRDefault="00C82158" w:rsidP="00C82158">
            <w:pPr>
              <w:rPr>
                <w:sz w:val="20"/>
                <w:szCs w:val="20"/>
                <w:lang w:eastAsia="en-US"/>
              </w:rPr>
            </w:pPr>
          </w:p>
        </w:tc>
        <w:tc>
          <w:tcPr>
            <w:tcW w:w="3210" w:type="dxa"/>
          </w:tcPr>
          <w:p w14:paraId="06BBD599" w14:textId="77777777" w:rsidR="00C82158" w:rsidRDefault="00C82158" w:rsidP="00C82158">
            <w:pPr>
              <w:pStyle w:val="ListParagraph"/>
              <w:numPr>
                <w:ilvl w:val="0"/>
                <w:numId w:val="23"/>
              </w:numPr>
              <w:rPr>
                <w:sz w:val="20"/>
                <w:szCs w:val="20"/>
                <w:lang w:eastAsia="en-US"/>
              </w:rPr>
            </w:pPr>
            <w:r w:rsidRPr="00C82158">
              <w:rPr>
                <w:sz w:val="20"/>
                <w:szCs w:val="20"/>
                <w:lang w:eastAsia="en-US"/>
              </w:rPr>
              <w:t xml:space="preserve">No impact on existing spec </w:t>
            </w:r>
          </w:p>
          <w:p w14:paraId="60F9268C" w14:textId="77777777" w:rsidR="00C82158" w:rsidRPr="00C82158" w:rsidRDefault="00C82158" w:rsidP="00C82158">
            <w:pPr>
              <w:pStyle w:val="ListParagraph"/>
              <w:numPr>
                <w:ilvl w:val="0"/>
                <w:numId w:val="23"/>
              </w:numPr>
              <w:rPr>
                <w:sz w:val="20"/>
                <w:szCs w:val="20"/>
                <w:lang w:eastAsia="en-US"/>
              </w:rPr>
            </w:pPr>
            <w:r w:rsidRPr="00C82158">
              <w:rPr>
                <w:sz w:val="20"/>
                <w:szCs w:val="20"/>
                <w:lang w:eastAsia="en-US"/>
              </w:rPr>
              <w:t xml:space="preserve">Flexibility to either reuse FR2 or introduce 60GHz-specific features and requirements </w:t>
            </w:r>
          </w:p>
          <w:p w14:paraId="6594DCBF" w14:textId="712DD7C7" w:rsidR="00C82158" w:rsidRPr="00C82158" w:rsidRDefault="00C82158" w:rsidP="00C82158">
            <w:pPr>
              <w:pStyle w:val="ListParagraph"/>
              <w:ind w:left="360"/>
              <w:rPr>
                <w:sz w:val="20"/>
                <w:szCs w:val="20"/>
                <w:lang w:eastAsia="en-US"/>
              </w:rPr>
            </w:pPr>
          </w:p>
        </w:tc>
        <w:tc>
          <w:tcPr>
            <w:tcW w:w="3211" w:type="dxa"/>
          </w:tcPr>
          <w:p w14:paraId="29EE9956" w14:textId="62BAEE17" w:rsidR="00C82158" w:rsidRDefault="00C82158" w:rsidP="00C82158">
            <w:pPr>
              <w:pStyle w:val="ListParagraph"/>
              <w:numPr>
                <w:ilvl w:val="0"/>
                <w:numId w:val="22"/>
              </w:numPr>
              <w:rPr>
                <w:sz w:val="20"/>
                <w:szCs w:val="20"/>
                <w:lang w:eastAsia="en-US"/>
              </w:rPr>
            </w:pPr>
            <w:r>
              <w:rPr>
                <w:sz w:val="20"/>
                <w:szCs w:val="20"/>
                <w:lang w:eastAsia="en-US"/>
              </w:rPr>
              <w:t xml:space="preserve">New </w:t>
            </w:r>
            <w:r w:rsidR="00BD3469">
              <w:rPr>
                <w:sz w:val="20"/>
                <w:szCs w:val="20"/>
                <w:lang w:eastAsia="en-US"/>
              </w:rPr>
              <w:t xml:space="preserve">UE RF </w:t>
            </w:r>
            <w:r>
              <w:rPr>
                <w:sz w:val="20"/>
                <w:szCs w:val="20"/>
                <w:lang w:eastAsia="en-US"/>
              </w:rPr>
              <w:t xml:space="preserve">spec may be needed: one for FR3 SA and FR2+FR3, FR1+FR2+F3 </w:t>
            </w:r>
          </w:p>
          <w:p w14:paraId="5D1F99C3" w14:textId="60BA6B9A" w:rsidR="00C82158" w:rsidRDefault="00C82158" w:rsidP="00C82158">
            <w:pPr>
              <w:pStyle w:val="ListParagraph"/>
              <w:numPr>
                <w:ilvl w:val="1"/>
                <w:numId w:val="22"/>
              </w:numPr>
              <w:rPr>
                <w:sz w:val="20"/>
                <w:szCs w:val="20"/>
                <w:lang w:eastAsia="en-US"/>
              </w:rPr>
            </w:pPr>
            <w:r>
              <w:rPr>
                <w:sz w:val="20"/>
                <w:szCs w:val="20"/>
                <w:lang w:eastAsia="en-US"/>
              </w:rPr>
              <w:t>Duplication is expected for the feature and requirements which can be extended from existing FR2</w:t>
            </w:r>
          </w:p>
          <w:p w14:paraId="1AE56F58" w14:textId="0AFAC8E6" w:rsidR="00C82158" w:rsidRPr="00C82158" w:rsidRDefault="00C82158" w:rsidP="00C82158">
            <w:pPr>
              <w:pStyle w:val="ListParagraph"/>
              <w:numPr>
                <w:ilvl w:val="0"/>
                <w:numId w:val="22"/>
              </w:numPr>
              <w:rPr>
                <w:sz w:val="20"/>
                <w:szCs w:val="20"/>
                <w:lang w:eastAsia="en-US"/>
              </w:rPr>
            </w:pPr>
            <w:r w:rsidRPr="00C82158">
              <w:rPr>
                <w:sz w:val="20"/>
                <w:szCs w:val="20"/>
                <w:lang w:eastAsia="en-US"/>
              </w:rPr>
              <w:lastRenderedPageBreak/>
              <w:t>Otherwise, the spec title of 38.101-2</w:t>
            </w:r>
            <w:r>
              <w:rPr>
                <w:sz w:val="20"/>
                <w:szCs w:val="20"/>
                <w:lang w:eastAsia="en-US"/>
              </w:rPr>
              <w:t>/3</w:t>
            </w:r>
            <w:r w:rsidRPr="00C82158">
              <w:rPr>
                <w:sz w:val="20"/>
                <w:szCs w:val="20"/>
                <w:lang w:eastAsia="en-US"/>
              </w:rPr>
              <w:t xml:space="preserve"> needs to be rev</w:t>
            </w:r>
            <w:r>
              <w:rPr>
                <w:sz w:val="20"/>
                <w:szCs w:val="20"/>
                <w:lang w:eastAsia="en-US"/>
              </w:rPr>
              <w:t>ised to include FR3</w:t>
            </w:r>
            <w:r w:rsidRPr="00C82158">
              <w:rPr>
                <w:sz w:val="20"/>
                <w:szCs w:val="20"/>
                <w:lang w:eastAsia="en-US"/>
              </w:rPr>
              <w:t>.</w:t>
            </w:r>
          </w:p>
        </w:tc>
      </w:tr>
      <w:tr w:rsidR="00C82158" w14:paraId="6F6A8C37" w14:textId="77777777" w:rsidTr="00C82158">
        <w:tc>
          <w:tcPr>
            <w:tcW w:w="3210" w:type="dxa"/>
          </w:tcPr>
          <w:p w14:paraId="48F48D92" w14:textId="77777777" w:rsidR="00C82158" w:rsidRPr="00C82158" w:rsidRDefault="00C82158" w:rsidP="00C82158">
            <w:pPr>
              <w:rPr>
                <w:sz w:val="20"/>
                <w:szCs w:val="20"/>
                <w:lang w:eastAsia="en-US"/>
              </w:rPr>
            </w:pPr>
            <w:r w:rsidRPr="00C82158">
              <w:rPr>
                <w:sz w:val="20"/>
                <w:szCs w:val="20"/>
                <w:lang w:eastAsia="en-US"/>
              </w:rPr>
              <w:lastRenderedPageBreak/>
              <w:t>Option 3a: introduce new FR2a and FR2b notation for 24.25-52.6GHz, 52.6-71GHz, respectively</w:t>
            </w:r>
          </w:p>
          <w:p w14:paraId="1F14B0A8" w14:textId="77777777" w:rsidR="00C82158" w:rsidRDefault="00C82158" w:rsidP="00C82158">
            <w:pPr>
              <w:rPr>
                <w:sz w:val="20"/>
                <w:szCs w:val="20"/>
                <w:lang w:eastAsia="en-US"/>
              </w:rPr>
            </w:pPr>
          </w:p>
        </w:tc>
        <w:tc>
          <w:tcPr>
            <w:tcW w:w="3210" w:type="dxa"/>
          </w:tcPr>
          <w:p w14:paraId="32D92D4E" w14:textId="7AFA5682" w:rsidR="00C82158" w:rsidRDefault="007C0FC1" w:rsidP="007C0FC1">
            <w:pPr>
              <w:pStyle w:val="ListParagraph"/>
              <w:numPr>
                <w:ilvl w:val="0"/>
                <w:numId w:val="26"/>
              </w:numPr>
              <w:rPr>
                <w:sz w:val="20"/>
                <w:szCs w:val="20"/>
                <w:lang w:eastAsia="en-US"/>
              </w:rPr>
            </w:pPr>
            <w:r>
              <w:rPr>
                <w:sz w:val="20"/>
                <w:szCs w:val="20"/>
                <w:lang w:eastAsia="en-US"/>
              </w:rPr>
              <w:t xml:space="preserve">No new </w:t>
            </w:r>
            <w:r w:rsidR="00BD3469">
              <w:rPr>
                <w:sz w:val="20"/>
                <w:szCs w:val="20"/>
                <w:lang w:eastAsia="en-US"/>
              </w:rPr>
              <w:t xml:space="preserve">UE RF </w:t>
            </w:r>
            <w:r>
              <w:rPr>
                <w:sz w:val="20"/>
                <w:szCs w:val="20"/>
                <w:lang w:eastAsia="en-US"/>
              </w:rPr>
              <w:t>spec is needed</w:t>
            </w:r>
          </w:p>
          <w:p w14:paraId="6D76442C" w14:textId="77777777" w:rsidR="007C0FC1" w:rsidRPr="007C0FC1" w:rsidRDefault="007C0FC1" w:rsidP="007C0FC1">
            <w:pPr>
              <w:pStyle w:val="ListParagraph"/>
              <w:numPr>
                <w:ilvl w:val="0"/>
                <w:numId w:val="26"/>
              </w:numPr>
              <w:rPr>
                <w:sz w:val="20"/>
                <w:szCs w:val="20"/>
                <w:lang w:eastAsia="en-US"/>
              </w:rPr>
            </w:pPr>
            <w:r w:rsidRPr="007C0FC1">
              <w:rPr>
                <w:sz w:val="20"/>
                <w:szCs w:val="20"/>
                <w:lang w:eastAsia="en-US"/>
              </w:rPr>
              <w:t xml:space="preserve">Flexibility to either reuse FR2 or introduce 60GHz-specific features and requirements </w:t>
            </w:r>
          </w:p>
          <w:p w14:paraId="77C9D11A" w14:textId="19A6E62E" w:rsidR="007C0FC1" w:rsidRPr="007C0FC1" w:rsidRDefault="007C0FC1" w:rsidP="007C0FC1">
            <w:pPr>
              <w:rPr>
                <w:sz w:val="20"/>
                <w:szCs w:val="20"/>
                <w:lang w:eastAsia="en-US"/>
              </w:rPr>
            </w:pPr>
          </w:p>
        </w:tc>
        <w:tc>
          <w:tcPr>
            <w:tcW w:w="3211" w:type="dxa"/>
          </w:tcPr>
          <w:p w14:paraId="39EB2270" w14:textId="621052DD" w:rsidR="007C0FC1" w:rsidRDefault="007C0FC1" w:rsidP="00C82158">
            <w:pPr>
              <w:pStyle w:val="ListParagraph"/>
              <w:numPr>
                <w:ilvl w:val="0"/>
                <w:numId w:val="25"/>
              </w:numPr>
              <w:rPr>
                <w:sz w:val="20"/>
                <w:szCs w:val="20"/>
                <w:lang w:eastAsia="en-US"/>
              </w:rPr>
            </w:pPr>
            <w:r>
              <w:rPr>
                <w:sz w:val="20"/>
                <w:szCs w:val="20"/>
                <w:lang w:eastAsia="en-US"/>
              </w:rPr>
              <w:t>Major revision is needed f</w:t>
            </w:r>
            <w:r w:rsidR="005C6551">
              <w:rPr>
                <w:sz w:val="20"/>
                <w:szCs w:val="20"/>
                <w:lang w:eastAsia="en-US"/>
              </w:rPr>
              <w:t xml:space="preserve">or </w:t>
            </w:r>
            <w:r>
              <w:rPr>
                <w:sz w:val="20"/>
                <w:szCs w:val="20"/>
                <w:lang w:eastAsia="en-US"/>
              </w:rPr>
              <w:t xml:space="preserve">existing FR2 </w:t>
            </w:r>
            <w:r w:rsidR="005C6551">
              <w:rPr>
                <w:sz w:val="20"/>
                <w:szCs w:val="20"/>
                <w:lang w:eastAsia="en-US"/>
              </w:rPr>
              <w:t>features and requirements which cannot be extended to FR2b</w:t>
            </w:r>
          </w:p>
          <w:p w14:paraId="61238183" w14:textId="788F0FBF" w:rsidR="00C82158" w:rsidRDefault="00C82158" w:rsidP="007C0FC1">
            <w:pPr>
              <w:pStyle w:val="ListParagraph"/>
              <w:ind w:left="360"/>
              <w:rPr>
                <w:sz w:val="20"/>
                <w:szCs w:val="20"/>
                <w:lang w:eastAsia="en-US"/>
              </w:rPr>
            </w:pPr>
          </w:p>
          <w:p w14:paraId="1467DBDE" w14:textId="009EA4C3" w:rsidR="005C6551" w:rsidRPr="00C82158" w:rsidRDefault="005C6551" w:rsidP="005C6551">
            <w:pPr>
              <w:pStyle w:val="ListParagraph"/>
              <w:ind w:left="1080"/>
              <w:rPr>
                <w:sz w:val="20"/>
                <w:szCs w:val="20"/>
                <w:lang w:eastAsia="en-US"/>
              </w:rPr>
            </w:pPr>
          </w:p>
        </w:tc>
      </w:tr>
      <w:tr w:rsidR="00C82158" w14:paraId="05F088B3" w14:textId="77777777" w:rsidTr="00C82158">
        <w:tc>
          <w:tcPr>
            <w:tcW w:w="3210" w:type="dxa"/>
          </w:tcPr>
          <w:p w14:paraId="62E2F832" w14:textId="77777777" w:rsidR="00C82158" w:rsidRPr="00C82158" w:rsidRDefault="00C82158" w:rsidP="00C82158">
            <w:pPr>
              <w:rPr>
                <w:sz w:val="20"/>
                <w:szCs w:val="20"/>
                <w:lang w:eastAsia="en-US"/>
              </w:rPr>
            </w:pPr>
            <w:r w:rsidRPr="00C82158">
              <w:rPr>
                <w:sz w:val="20"/>
                <w:szCs w:val="20"/>
                <w:lang w:eastAsia="en-US"/>
              </w:rPr>
              <w:t>Option 3b: keep FR2 notation for 24.25-52.6GHz and introduce a new notation FR2a notation for 52.6-71GHz</w:t>
            </w:r>
          </w:p>
          <w:p w14:paraId="65921F80" w14:textId="77777777" w:rsidR="00C82158" w:rsidRDefault="00C82158" w:rsidP="00C82158">
            <w:pPr>
              <w:rPr>
                <w:sz w:val="20"/>
                <w:szCs w:val="20"/>
                <w:lang w:eastAsia="en-US"/>
              </w:rPr>
            </w:pPr>
          </w:p>
        </w:tc>
        <w:tc>
          <w:tcPr>
            <w:tcW w:w="3210" w:type="dxa"/>
          </w:tcPr>
          <w:p w14:paraId="4F21EA81" w14:textId="77777777" w:rsidR="00C82158" w:rsidRDefault="007C0FC1" w:rsidP="007C0FC1">
            <w:pPr>
              <w:pStyle w:val="ListParagraph"/>
              <w:numPr>
                <w:ilvl w:val="0"/>
                <w:numId w:val="27"/>
              </w:numPr>
              <w:rPr>
                <w:sz w:val="20"/>
                <w:szCs w:val="20"/>
                <w:lang w:eastAsia="en-US"/>
              </w:rPr>
            </w:pPr>
            <w:r>
              <w:rPr>
                <w:sz w:val="20"/>
                <w:szCs w:val="20"/>
                <w:lang w:eastAsia="en-US"/>
              </w:rPr>
              <w:t>Limited impact on existing spec</w:t>
            </w:r>
          </w:p>
          <w:p w14:paraId="7D2C2547" w14:textId="77777777" w:rsidR="007C0FC1" w:rsidRPr="007C0FC1" w:rsidRDefault="007C0FC1" w:rsidP="007C0FC1">
            <w:pPr>
              <w:pStyle w:val="ListParagraph"/>
              <w:numPr>
                <w:ilvl w:val="0"/>
                <w:numId w:val="27"/>
              </w:numPr>
              <w:rPr>
                <w:sz w:val="20"/>
                <w:szCs w:val="20"/>
                <w:lang w:eastAsia="en-US"/>
              </w:rPr>
            </w:pPr>
            <w:r w:rsidRPr="007C0FC1">
              <w:rPr>
                <w:sz w:val="20"/>
                <w:szCs w:val="20"/>
                <w:lang w:eastAsia="en-US"/>
              </w:rPr>
              <w:t xml:space="preserve">Flexibility to either reuse FR2 or introduce 60GHz-specific features and requirements </w:t>
            </w:r>
          </w:p>
          <w:p w14:paraId="31CF65B7" w14:textId="69DFF0B3" w:rsidR="007C0FC1" w:rsidRPr="007C0FC1" w:rsidRDefault="007C0FC1" w:rsidP="007C0FC1">
            <w:pPr>
              <w:rPr>
                <w:sz w:val="20"/>
                <w:szCs w:val="20"/>
                <w:lang w:eastAsia="en-US"/>
              </w:rPr>
            </w:pPr>
          </w:p>
        </w:tc>
        <w:tc>
          <w:tcPr>
            <w:tcW w:w="3211" w:type="dxa"/>
          </w:tcPr>
          <w:p w14:paraId="7C7DECC0" w14:textId="494E3B35" w:rsidR="00C82158" w:rsidRPr="007C0FC1" w:rsidRDefault="007C0FC1" w:rsidP="007C0FC1">
            <w:pPr>
              <w:pStyle w:val="ListParagraph"/>
              <w:numPr>
                <w:ilvl w:val="0"/>
                <w:numId w:val="27"/>
              </w:numPr>
              <w:rPr>
                <w:sz w:val="20"/>
                <w:szCs w:val="20"/>
                <w:lang w:eastAsia="en-US"/>
              </w:rPr>
            </w:pPr>
            <w:r>
              <w:rPr>
                <w:sz w:val="20"/>
                <w:szCs w:val="20"/>
                <w:lang w:eastAsia="en-US"/>
              </w:rPr>
              <w:t xml:space="preserve">It is </w:t>
            </w:r>
            <w:r w:rsidR="00324054">
              <w:rPr>
                <w:sz w:val="20"/>
                <w:szCs w:val="20"/>
                <w:lang w:eastAsia="en-US"/>
              </w:rPr>
              <w:t xml:space="preserve">ambiguous </w:t>
            </w:r>
            <w:r>
              <w:rPr>
                <w:sz w:val="20"/>
                <w:szCs w:val="20"/>
                <w:lang w:eastAsia="en-US"/>
              </w:rPr>
              <w:t>by definition if FR2a is part of FR2. If yes, the issues with Option 1 may happen here. If no, issues of Option 2 apply.</w:t>
            </w:r>
          </w:p>
        </w:tc>
      </w:tr>
    </w:tbl>
    <w:p w14:paraId="49DB88FC" w14:textId="77777777" w:rsidR="00C82158" w:rsidRPr="00C82158" w:rsidRDefault="00C82158" w:rsidP="00C82158">
      <w:pPr>
        <w:rPr>
          <w:sz w:val="20"/>
          <w:szCs w:val="20"/>
          <w:lang w:eastAsia="en-US"/>
        </w:rPr>
      </w:pPr>
    </w:p>
    <w:p w14:paraId="317BC91B" w14:textId="59423BF7" w:rsidR="007C0FC1" w:rsidRPr="008D7FC7" w:rsidRDefault="007C0FC1" w:rsidP="008E7986">
      <w:pPr>
        <w:rPr>
          <w:sz w:val="20"/>
          <w:szCs w:val="20"/>
          <w:lang w:val="en-GB"/>
        </w:rPr>
      </w:pPr>
      <w:r w:rsidRPr="008D7FC7">
        <w:rPr>
          <w:sz w:val="20"/>
          <w:szCs w:val="20"/>
          <w:lang w:val="en-GB"/>
        </w:rPr>
        <w:t xml:space="preserve">Based on the analysis above, it is </w:t>
      </w:r>
      <w:r w:rsidR="00324054">
        <w:rPr>
          <w:sz w:val="20"/>
          <w:szCs w:val="20"/>
          <w:lang w:val="en-GB"/>
        </w:rPr>
        <w:t xml:space="preserve">a </w:t>
      </w:r>
      <w:r w:rsidRPr="008D7FC7">
        <w:rPr>
          <w:sz w:val="20"/>
          <w:szCs w:val="20"/>
          <w:lang w:val="en-GB"/>
        </w:rPr>
        <w:t>challenge in Option 1 and 3b to handle the cases when 60GHz-specific requirements are to be introduced. Option 2 and 3a are more flexible for both backward and forward compatib</w:t>
      </w:r>
      <w:r w:rsidR="00324054">
        <w:rPr>
          <w:sz w:val="20"/>
          <w:szCs w:val="20"/>
          <w:lang w:val="en-GB"/>
        </w:rPr>
        <w:t>ility</w:t>
      </w:r>
      <w:r w:rsidRPr="008D7FC7">
        <w:rPr>
          <w:sz w:val="20"/>
          <w:szCs w:val="20"/>
          <w:lang w:val="en-GB"/>
        </w:rPr>
        <w:t>. Technically, the fundamental difference between Option 2 and 3a is not significant. With this, it is proposed</w:t>
      </w:r>
      <w:r w:rsidR="00324054">
        <w:rPr>
          <w:sz w:val="20"/>
          <w:szCs w:val="20"/>
          <w:lang w:val="en-GB"/>
        </w:rPr>
        <w:t>:</w:t>
      </w:r>
    </w:p>
    <w:p w14:paraId="25B1C16E" w14:textId="77777777" w:rsidR="007C0FC1" w:rsidRPr="008D7FC7" w:rsidRDefault="007C0FC1" w:rsidP="008E7986">
      <w:pPr>
        <w:rPr>
          <w:sz w:val="20"/>
          <w:szCs w:val="20"/>
          <w:lang w:val="en-GB"/>
        </w:rPr>
      </w:pPr>
    </w:p>
    <w:p w14:paraId="6E0AEB69" w14:textId="56EE9059" w:rsidR="00833358" w:rsidRPr="008D7FC7" w:rsidRDefault="007C0FC1" w:rsidP="008E7986">
      <w:pPr>
        <w:rPr>
          <w:b/>
          <w:bCs/>
          <w:sz w:val="20"/>
          <w:szCs w:val="20"/>
          <w:lang w:val="en-GB"/>
        </w:rPr>
      </w:pPr>
      <w:r w:rsidRPr="008D7FC7">
        <w:rPr>
          <w:b/>
          <w:bCs/>
          <w:sz w:val="20"/>
          <w:szCs w:val="20"/>
          <w:lang w:val="en-GB"/>
        </w:rPr>
        <w:t xml:space="preserve">Proposal 1: it is proposed to narrow down the list of options to Option 2 and 3a for further discussion.  </w:t>
      </w:r>
    </w:p>
    <w:p w14:paraId="19249D05" w14:textId="2CA897DE" w:rsidR="007C0FC1" w:rsidRPr="008D7FC7" w:rsidRDefault="007C0FC1" w:rsidP="008E7986">
      <w:pPr>
        <w:rPr>
          <w:b/>
          <w:bCs/>
          <w:sz w:val="20"/>
          <w:szCs w:val="20"/>
          <w:lang w:val="en-GB"/>
        </w:rPr>
      </w:pPr>
    </w:p>
    <w:p w14:paraId="76AEFF77" w14:textId="77777777" w:rsidR="00F54C0C" w:rsidRPr="008D7FC7" w:rsidRDefault="007C0FC1" w:rsidP="008E7986">
      <w:pPr>
        <w:rPr>
          <w:b/>
          <w:bCs/>
          <w:sz w:val="20"/>
          <w:szCs w:val="20"/>
        </w:rPr>
      </w:pPr>
      <w:r w:rsidRPr="008D7FC7">
        <w:rPr>
          <w:b/>
          <w:bCs/>
          <w:sz w:val="20"/>
          <w:szCs w:val="20"/>
          <w:lang w:val="en-GB"/>
        </w:rPr>
        <w:t>Proposal 2</w:t>
      </w:r>
      <w:r w:rsidR="00F54C0C" w:rsidRPr="008D7FC7">
        <w:rPr>
          <w:b/>
          <w:bCs/>
          <w:sz w:val="20"/>
          <w:szCs w:val="20"/>
          <w:lang w:val="en-GB"/>
        </w:rPr>
        <w:t xml:space="preserve">: the following principles should be considered to define the frequency range </w:t>
      </w:r>
      <w:r w:rsidR="00F54C0C" w:rsidRPr="008D7FC7">
        <w:rPr>
          <w:b/>
          <w:bCs/>
          <w:sz w:val="20"/>
          <w:szCs w:val="20"/>
        </w:rPr>
        <w:t>of 52.6 GHz to 71 GHz</w:t>
      </w:r>
    </w:p>
    <w:p w14:paraId="5AD6EB53" w14:textId="4E76B705" w:rsidR="007C0FC1" w:rsidRPr="008D7FC7" w:rsidRDefault="00F54C0C" w:rsidP="00F54C0C">
      <w:pPr>
        <w:pStyle w:val="ListParagraph"/>
        <w:numPr>
          <w:ilvl w:val="0"/>
          <w:numId w:val="28"/>
        </w:numPr>
        <w:rPr>
          <w:b/>
          <w:bCs/>
          <w:sz w:val="20"/>
          <w:szCs w:val="20"/>
          <w:lang w:val="en-GB"/>
        </w:rPr>
      </w:pPr>
      <w:r w:rsidRPr="008D7FC7">
        <w:rPr>
          <w:b/>
          <w:bCs/>
          <w:sz w:val="20"/>
          <w:szCs w:val="20"/>
          <w:lang w:val="en-GB"/>
        </w:rPr>
        <w:t>No new spec should be introduced</w:t>
      </w:r>
    </w:p>
    <w:p w14:paraId="03755570" w14:textId="618EA269" w:rsidR="00F54C0C" w:rsidRPr="00F54C0C" w:rsidRDefault="00F54C0C" w:rsidP="00F54C0C">
      <w:pPr>
        <w:pStyle w:val="ListParagraph"/>
        <w:numPr>
          <w:ilvl w:val="0"/>
          <w:numId w:val="28"/>
        </w:numPr>
        <w:rPr>
          <w:b/>
          <w:bCs/>
          <w:sz w:val="20"/>
          <w:szCs w:val="20"/>
        </w:rPr>
      </w:pPr>
      <w:r w:rsidRPr="008D7FC7">
        <w:rPr>
          <w:b/>
          <w:bCs/>
          <w:sz w:val="20"/>
          <w:szCs w:val="20"/>
        </w:rPr>
        <w:t>Ensure f</w:t>
      </w:r>
      <w:r w:rsidRPr="00F54C0C">
        <w:rPr>
          <w:b/>
          <w:bCs/>
          <w:sz w:val="20"/>
          <w:szCs w:val="20"/>
        </w:rPr>
        <w:t xml:space="preserve">lexibility to either reuse FR2 or introduce 60GHz-specific features and requirements </w:t>
      </w:r>
    </w:p>
    <w:p w14:paraId="62CBB534" w14:textId="7FD2A0FB" w:rsidR="00F54C0C" w:rsidRPr="008D7FC7" w:rsidRDefault="00F54C0C" w:rsidP="00F54C0C">
      <w:pPr>
        <w:pStyle w:val="ListParagraph"/>
        <w:numPr>
          <w:ilvl w:val="0"/>
          <w:numId w:val="28"/>
        </w:numPr>
        <w:rPr>
          <w:b/>
          <w:bCs/>
          <w:sz w:val="20"/>
          <w:szCs w:val="20"/>
          <w:lang w:val="en-GB"/>
        </w:rPr>
      </w:pPr>
      <w:r w:rsidRPr="008D7FC7">
        <w:rPr>
          <w:b/>
          <w:bCs/>
          <w:sz w:val="20"/>
          <w:szCs w:val="20"/>
          <w:lang w:val="en-GB"/>
        </w:rPr>
        <w:t>Strive to reduce the impact on existing spec</w:t>
      </w:r>
    </w:p>
    <w:p w14:paraId="7228DA19" w14:textId="4A7CA97F" w:rsidR="00E72324" w:rsidRDefault="008E7986" w:rsidP="00112D80">
      <w:pPr>
        <w:pStyle w:val="Heading1"/>
      </w:pPr>
      <w:r>
        <w:t>2</w:t>
      </w:r>
      <w:r>
        <w:tab/>
      </w:r>
      <w:r w:rsidR="00300BA9">
        <w:t xml:space="preserve">Some considerations </w:t>
      </w:r>
      <w:r w:rsidR="00300BA9">
        <w:rPr>
          <w:lang w:val="en-US"/>
        </w:rPr>
        <w:t>o</w:t>
      </w:r>
      <w:r w:rsidR="00300BA9" w:rsidRPr="00300BA9">
        <w:rPr>
          <w:lang w:val="en-US"/>
        </w:rPr>
        <w:t>n the frequency range 52.6 GHz to 71 GHz</w:t>
      </w:r>
    </w:p>
    <w:p w14:paraId="58B4B435" w14:textId="77777777" w:rsidR="0036620E" w:rsidRDefault="0036620E" w:rsidP="00826E3B"/>
    <w:p w14:paraId="4F633BC1" w14:textId="0E8F2FEA" w:rsidR="00BD3469" w:rsidRPr="00BD3469" w:rsidRDefault="00BD3469" w:rsidP="00BD3469">
      <w:pPr>
        <w:spacing w:beforeAutospacing="1" w:after="100" w:afterAutospacing="1"/>
        <w:rPr>
          <w:sz w:val="20"/>
          <w:lang w:val="en-GB"/>
        </w:rPr>
      </w:pPr>
      <w:r>
        <w:rPr>
          <w:sz w:val="20"/>
          <w:szCs w:val="20"/>
        </w:rPr>
        <w:t xml:space="preserve">Definition of </w:t>
      </w:r>
      <w:r w:rsidRPr="00BD3469">
        <w:rPr>
          <w:sz w:val="20"/>
        </w:rPr>
        <w:t>the frequency range 52.6 GHz to 71 GHz</w:t>
      </w:r>
      <w:r>
        <w:rPr>
          <w:sz w:val="20"/>
        </w:rPr>
        <w:t xml:space="preserve"> largely depends how much the existing FR2 features and requirements can be extended to cover </w:t>
      </w:r>
      <w:r w:rsidRPr="00BD3469">
        <w:rPr>
          <w:sz w:val="20"/>
        </w:rPr>
        <w:t>52.6 GHz to 71 GHz</w:t>
      </w:r>
      <w:r>
        <w:rPr>
          <w:sz w:val="20"/>
        </w:rPr>
        <w:t xml:space="preserve">. Although RAN4 needs to work on the details, the following aspects should be considered. </w:t>
      </w:r>
    </w:p>
    <w:p w14:paraId="452E6C14" w14:textId="179CC353" w:rsidR="00300BA9" w:rsidRPr="00384F83" w:rsidRDefault="00300BA9" w:rsidP="005273BE">
      <w:pPr>
        <w:numPr>
          <w:ilvl w:val="0"/>
          <w:numId w:val="12"/>
        </w:numPr>
        <w:tabs>
          <w:tab w:val="clear" w:pos="720"/>
          <w:tab w:val="num" w:pos="-360"/>
        </w:tabs>
        <w:spacing w:before="100" w:beforeAutospacing="1" w:after="100" w:afterAutospacing="1"/>
        <w:ind w:left="360"/>
        <w:rPr>
          <w:sz w:val="20"/>
          <w:szCs w:val="20"/>
        </w:rPr>
      </w:pPr>
      <w:r w:rsidRPr="00384F83">
        <w:rPr>
          <w:sz w:val="20"/>
          <w:szCs w:val="20"/>
        </w:rPr>
        <w:t xml:space="preserve">UE architecture: </w:t>
      </w:r>
      <w:r w:rsidR="00542052" w:rsidRPr="00384F83">
        <w:rPr>
          <w:sz w:val="20"/>
          <w:szCs w:val="20"/>
        </w:rPr>
        <w:t xml:space="preserve">The </w:t>
      </w:r>
      <w:r w:rsidRPr="00384F83">
        <w:rPr>
          <w:sz w:val="20"/>
          <w:szCs w:val="20"/>
        </w:rPr>
        <w:t>UE architecture for </w:t>
      </w:r>
      <w:r w:rsidR="00542052" w:rsidRPr="00384F83">
        <w:rPr>
          <w:sz w:val="20"/>
          <w:szCs w:val="20"/>
        </w:rPr>
        <w:t xml:space="preserve">the </w:t>
      </w:r>
      <w:r w:rsidRPr="00384F83">
        <w:rPr>
          <w:sz w:val="20"/>
          <w:szCs w:val="20"/>
          <w:lang w:val="en-GB"/>
        </w:rPr>
        <w:t>frequency range from 52.6GHz-71GHz</w:t>
      </w:r>
      <w:r w:rsidRPr="00384F83">
        <w:rPr>
          <w:sz w:val="20"/>
          <w:szCs w:val="20"/>
        </w:rPr>
        <w:t> is still unclear. Since Rel-15, many of existing FR2 requirements are specified based on the assumptions of discrete RFIC</w:t>
      </w:r>
      <w:r w:rsidR="00542052" w:rsidRPr="00384F83">
        <w:rPr>
          <w:sz w:val="20"/>
          <w:szCs w:val="20"/>
        </w:rPr>
        <w:t>s</w:t>
      </w:r>
      <w:r w:rsidRPr="00384F83">
        <w:rPr>
          <w:sz w:val="20"/>
          <w:szCs w:val="20"/>
        </w:rPr>
        <w:t xml:space="preserve"> for FR1 and FR2 separately. It is not clear as of now if 60GHz will be integrated </w:t>
      </w:r>
      <w:r w:rsidR="00542052" w:rsidRPr="00384F83">
        <w:rPr>
          <w:sz w:val="20"/>
          <w:szCs w:val="20"/>
        </w:rPr>
        <w:t xml:space="preserve">with </w:t>
      </w:r>
      <w:r w:rsidRPr="00384F83">
        <w:rPr>
          <w:sz w:val="20"/>
          <w:szCs w:val="20"/>
        </w:rPr>
        <w:t xml:space="preserve">or separated </w:t>
      </w:r>
      <w:r w:rsidR="00542052" w:rsidRPr="00384F83">
        <w:rPr>
          <w:sz w:val="20"/>
          <w:szCs w:val="20"/>
        </w:rPr>
        <w:t xml:space="preserve">from </w:t>
      </w:r>
      <w:r w:rsidR="00D857BA" w:rsidRPr="00384F83">
        <w:rPr>
          <w:sz w:val="20"/>
          <w:szCs w:val="20"/>
        </w:rPr>
        <w:t>the FR</w:t>
      </w:r>
      <w:r w:rsidRPr="00384F83">
        <w:rPr>
          <w:sz w:val="20"/>
          <w:szCs w:val="20"/>
        </w:rPr>
        <w:t>2 RFIC. Depending on the different architecture</w:t>
      </w:r>
      <w:r w:rsidR="00542052" w:rsidRPr="00384F83">
        <w:rPr>
          <w:sz w:val="20"/>
          <w:szCs w:val="20"/>
        </w:rPr>
        <w:t>s</w:t>
      </w:r>
      <w:r w:rsidRPr="00384F83">
        <w:rPr>
          <w:sz w:val="20"/>
          <w:szCs w:val="20"/>
        </w:rPr>
        <w:t xml:space="preserve"> for FR1+FR2+60GHz, existing FR2 features and requirements may not be easily extended to the </w:t>
      </w:r>
      <w:r w:rsidRPr="00384F83">
        <w:rPr>
          <w:sz w:val="20"/>
          <w:szCs w:val="20"/>
          <w:lang w:val="en-GB"/>
        </w:rPr>
        <w:t>frequency range from 52.6GHz-71GHz.</w:t>
      </w:r>
      <w:r w:rsidRPr="00384F83">
        <w:rPr>
          <w:sz w:val="20"/>
          <w:szCs w:val="20"/>
        </w:rPr>
        <w:t> </w:t>
      </w:r>
    </w:p>
    <w:p w14:paraId="05372309" w14:textId="03E481B3" w:rsidR="00B211C1" w:rsidRPr="00384F83" w:rsidRDefault="00300BA9" w:rsidP="00B211C1">
      <w:pPr>
        <w:numPr>
          <w:ilvl w:val="0"/>
          <w:numId w:val="13"/>
        </w:numPr>
        <w:tabs>
          <w:tab w:val="clear" w:pos="720"/>
          <w:tab w:val="num" w:pos="-360"/>
        </w:tabs>
        <w:spacing w:before="100" w:beforeAutospacing="1" w:after="100" w:afterAutospacing="1"/>
        <w:ind w:left="360"/>
        <w:rPr>
          <w:sz w:val="20"/>
          <w:szCs w:val="20"/>
        </w:rPr>
      </w:pPr>
      <w:r w:rsidRPr="00384F83">
        <w:rPr>
          <w:sz w:val="20"/>
          <w:szCs w:val="20"/>
        </w:rPr>
        <w:t xml:space="preserve">Existing FR2 features: due to the uncertainty of </w:t>
      </w:r>
      <w:r w:rsidR="00542052" w:rsidRPr="00384F83">
        <w:rPr>
          <w:sz w:val="20"/>
          <w:szCs w:val="20"/>
        </w:rPr>
        <w:t xml:space="preserve">the </w:t>
      </w:r>
      <w:r w:rsidRPr="00384F83">
        <w:rPr>
          <w:sz w:val="20"/>
          <w:szCs w:val="20"/>
        </w:rPr>
        <w:t xml:space="preserve">UE architecture and ongoing discussion in RAN1, it is not straightforward if and how the existing FR2 features and requirements can be directly extended.  If 60GHz specific new features and/or requirements are introduced under the umbrella of FR2, significant efforts on spec revisions are expected to differentiate 60GHz from the existing FR2 bands. </w:t>
      </w:r>
      <w:r w:rsidR="005273BE" w:rsidRPr="00384F83">
        <w:rPr>
          <w:sz w:val="20"/>
          <w:szCs w:val="20"/>
        </w:rPr>
        <w:t xml:space="preserve">Some preliminary analysis has been done on </w:t>
      </w:r>
      <w:r w:rsidRPr="00384F83">
        <w:rPr>
          <w:sz w:val="20"/>
          <w:szCs w:val="20"/>
        </w:rPr>
        <w:t xml:space="preserve">FR2 features and requirements </w:t>
      </w:r>
      <w:r w:rsidR="005273BE" w:rsidRPr="00384F83">
        <w:rPr>
          <w:sz w:val="20"/>
          <w:szCs w:val="20"/>
        </w:rPr>
        <w:t>which may not be able to be directly extended to 60GHz.</w:t>
      </w:r>
    </w:p>
    <w:p w14:paraId="23231074" w14:textId="2D76101C" w:rsidR="00B211C1" w:rsidRPr="00384F83" w:rsidRDefault="00B211C1" w:rsidP="00B211C1">
      <w:pPr>
        <w:numPr>
          <w:ilvl w:val="0"/>
          <w:numId w:val="13"/>
        </w:numPr>
        <w:tabs>
          <w:tab w:val="clear" w:pos="720"/>
          <w:tab w:val="num" w:pos="-360"/>
        </w:tabs>
        <w:spacing w:before="100" w:beforeAutospacing="1" w:after="100" w:afterAutospacing="1"/>
        <w:ind w:left="360"/>
        <w:rPr>
          <w:sz w:val="20"/>
          <w:szCs w:val="20"/>
        </w:rPr>
      </w:pPr>
      <w:r w:rsidRPr="00384F83">
        <w:rPr>
          <w:sz w:val="20"/>
          <w:szCs w:val="20"/>
        </w:rPr>
        <w:t>Band agnostic principles: As discussed by RAN WG1 and WG4, supporting the 52.6 to 71GHz frequency range will require new system level parameters, such as new sub-carrier spacing, new minimum and maximum channel bandwidth, etc. Every frequency range has associated system parameters that inextricably define common requirements for all the bands in the corresponding range. If FR2 is reused for 52.6 to 71GHz range, then this logic will break as different bands will have different associated mandatory parameters.</w:t>
      </w:r>
    </w:p>
    <w:p w14:paraId="41504683" w14:textId="78542498" w:rsidR="00B211C1" w:rsidRPr="00384F83" w:rsidRDefault="00B211C1" w:rsidP="00B211C1">
      <w:pPr>
        <w:spacing w:before="100" w:beforeAutospacing="1" w:after="100" w:afterAutospacing="1"/>
        <w:rPr>
          <w:sz w:val="20"/>
          <w:szCs w:val="20"/>
        </w:rPr>
      </w:pPr>
      <w:r w:rsidRPr="00384F83">
        <w:rPr>
          <w:sz w:val="20"/>
          <w:szCs w:val="20"/>
        </w:rPr>
        <w:t xml:space="preserve">In the following sub-sections, we present some preliminary analysis on existing FR2 features and requirements identifying which features it may not be able to extend directly to 60GHz. At the same time, we also present potentially negative consequences if a completely new frequency range, e.g. FR3, is introduced.  </w:t>
      </w:r>
    </w:p>
    <w:p w14:paraId="02E723DC" w14:textId="2384603D" w:rsidR="005273BE" w:rsidRDefault="005273BE" w:rsidP="005273BE">
      <w:pPr>
        <w:pStyle w:val="Heading2"/>
      </w:pPr>
      <w:r>
        <w:lastRenderedPageBreak/>
        <w:t>2.1 RRM requirements in RAN4</w:t>
      </w:r>
    </w:p>
    <w:p w14:paraId="1CDCD0DA" w14:textId="56F594AB" w:rsidR="005273BE" w:rsidRPr="0028112D" w:rsidRDefault="005273BE" w:rsidP="005273BE">
      <w:pPr>
        <w:autoSpaceDE w:val="0"/>
        <w:autoSpaceDN w:val="0"/>
        <w:adjustRightInd w:val="0"/>
        <w:jc w:val="both"/>
        <w:rPr>
          <w:color w:val="000000"/>
          <w:sz w:val="20"/>
          <w:szCs w:val="20"/>
        </w:rPr>
      </w:pPr>
      <w:r w:rsidRPr="0028112D">
        <w:rPr>
          <w:color w:val="000000"/>
          <w:sz w:val="20"/>
          <w:szCs w:val="20"/>
        </w:rPr>
        <w:t xml:space="preserve">In </w:t>
      </w:r>
      <w:r w:rsidR="00542052">
        <w:rPr>
          <w:color w:val="000000"/>
          <w:sz w:val="20"/>
          <w:szCs w:val="20"/>
        </w:rPr>
        <w:t xml:space="preserve">the </w:t>
      </w:r>
      <w:r w:rsidRPr="0028112D">
        <w:rPr>
          <w:color w:val="000000"/>
          <w:sz w:val="20"/>
          <w:szCs w:val="20"/>
        </w:rPr>
        <w:t xml:space="preserve">current RRM spec, the requirements are designed in a band agnostic manner for a specific FR and therefore it </w:t>
      </w:r>
      <w:r w:rsidR="00E45E4A">
        <w:rPr>
          <w:color w:val="000000"/>
          <w:sz w:val="20"/>
          <w:szCs w:val="20"/>
        </w:rPr>
        <w:t xml:space="preserve">should be carefully evaluated if </w:t>
      </w:r>
      <w:r w:rsidRPr="0028112D">
        <w:rPr>
          <w:color w:val="000000"/>
          <w:sz w:val="20"/>
          <w:szCs w:val="20"/>
        </w:rPr>
        <w:t>FR2 RRM requirement</w:t>
      </w:r>
      <w:r w:rsidR="00E45E4A">
        <w:rPr>
          <w:color w:val="000000"/>
          <w:sz w:val="20"/>
          <w:szCs w:val="20"/>
        </w:rPr>
        <w:t>s can be directly extended</w:t>
      </w:r>
      <w:r w:rsidRPr="0028112D">
        <w:rPr>
          <w:color w:val="000000"/>
          <w:sz w:val="20"/>
          <w:szCs w:val="20"/>
        </w:rPr>
        <w:t xml:space="preserve"> to cover 60GHz </w:t>
      </w:r>
      <w:r w:rsidR="00E45E4A">
        <w:rPr>
          <w:color w:val="000000"/>
          <w:sz w:val="20"/>
          <w:szCs w:val="20"/>
        </w:rPr>
        <w:t>spectrum</w:t>
      </w:r>
      <w:r w:rsidRPr="0028112D">
        <w:rPr>
          <w:color w:val="000000"/>
          <w:sz w:val="20"/>
          <w:szCs w:val="20"/>
        </w:rPr>
        <w:t xml:space="preserve">. </w:t>
      </w:r>
      <w:r w:rsidR="00E45E4A">
        <w:rPr>
          <w:color w:val="000000"/>
          <w:sz w:val="20"/>
          <w:szCs w:val="20"/>
        </w:rPr>
        <w:t>Based on some preliminary analysis, at least the following issues are subject to further study</w:t>
      </w:r>
      <w:r w:rsidR="00542052">
        <w:rPr>
          <w:color w:val="000000"/>
          <w:sz w:val="20"/>
          <w:szCs w:val="20"/>
        </w:rPr>
        <w:t>:</w:t>
      </w:r>
      <w:r w:rsidR="00E45E4A">
        <w:rPr>
          <w:color w:val="000000"/>
          <w:sz w:val="20"/>
          <w:szCs w:val="20"/>
        </w:rPr>
        <w:t xml:space="preserve"> </w:t>
      </w:r>
    </w:p>
    <w:p w14:paraId="5E44EDB2" w14:textId="77777777" w:rsidR="005273BE" w:rsidRPr="0028112D" w:rsidRDefault="005273BE" w:rsidP="005273BE">
      <w:pPr>
        <w:autoSpaceDE w:val="0"/>
        <w:autoSpaceDN w:val="0"/>
        <w:adjustRightInd w:val="0"/>
        <w:jc w:val="both"/>
        <w:rPr>
          <w:color w:val="000000"/>
          <w:sz w:val="20"/>
          <w:szCs w:val="20"/>
        </w:rPr>
      </w:pPr>
    </w:p>
    <w:p w14:paraId="155FAFD7" w14:textId="2CE82E15" w:rsidR="005273BE" w:rsidRPr="00E45E4A" w:rsidRDefault="005273BE" w:rsidP="005273BE">
      <w:pPr>
        <w:pStyle w:val="ListParagraph"/>
        <w:numPr>
          <w:ilvl w:val="0"/>
          <w:numId w:val="14"/>
        </w:numPr>
        <w:autoSpaceDE w:val="0"/>
        <w:autoSpaceDN w:val="0"/>
        <w:adjustRightInd w:val="0"/>
        <w:jc w:val="both"/>
        <w:rPr>
          <w:b/>
          <w:bCs/>
          <w:color w:val="000000"/>
          <w:sz w:val="20"/>
          <w:szCs w:val="20"/>
          <w:u w:val="single"/>
        </w:rPr>
      </w:pPr>
      <w:r w:rsidRPr="00E45E4A">
        <w:rPr>
          <w:b/>
          <w:bCs/>
          <w:color w:val="000000"/>
          <w:sz w:val="20"/>
          <w:szCs w:val="20"/>
          <w:u w:val="single"/>
        </w:rPr>
        <w:t>Measurement gap</w:t>
      </w:r>
    </w:p>
    <w:p w14:paraId="623C9C24" w14:textId="77777777" w:rsidR="00E45E4A" w:rsidRPr="0028112D" w:rsidRDefault="00E45E4A" w:rsidP="00E45E4A">
      <w:pPr>
        <w:pStyle w:val="ListParagraph"/>
        <w:autoSpaceDE w:val="0"/>
        <w:autoSpaceDN w:val="0"/>
        <w:adjustRightInd w:val="0"/>
        <w:ind w:left="360"/>
        <w:jc w:val="both"/>
        <w:rPr>
          <w:color w:val="000000"/>
          <w:sz w:val="20"/>
          <w:szCs w:val="20"/>
        </w:rPr>
      </w:pPr>
    </w:p>
    <w:p w14:paraId="12E98D58" w14:textId="320297D7" w:rsidR="005273BE" w:rsidRDefault="005273BE" w:rsidP="005273BE">
      <w:pPr>
        <w:autoSpaceDE w:val="0"/>
        <w:autoSpaceDN w:val="0"/>
        <w:adjustRightInd w:val="0"/>
        <w:jc w:val="both"/>
        <w:rPr>
          <w:color w:val="000000"/>
          <w:sz w:val="20"/>
          <w:szCs w:val="20"/>
        </w:rPr>
      </w:pPr>
      <w:r w:rsidRPr="0028112D">
        <w:rPr>
          <w:color w:val="000000"/>
          <w:sz w:val="20"/>
          <w:szCs w:val="20"/>
        </w:rPr>
        <w:t xml:space="preserve">In </w:t>
      </w:r>
      <w:r w:rsidR="00542052">
        <w:rPr>
          <w:color w:val="000000"/>
          <w:sz w:val="20"/>
          <w:szCs w:val="20"/>
        </w:rPr>
        <w:t xml:space="preserve">the </w:t>
      </w:r>
      <w:r w:rsidRPr="0028112D">
        <w:rPr>
          <w:color w:val="000000"/>
          <w:sz w:val="20"/>
          <w:szCs w:val="20"/>
        </w:rPr>
        <w:t>RAN4</w:t>
      </w:r>
      <w:r w:rsidR="00E45E4A">
        <w:rPr>
          <w:color w:val="000000"/>
          <w:sz w:val="20"/>
          <w:szCs w:val="20"/>
        </w:rPr>
        <w:t xml:space="preserve"> spec,</w:t>
      </w:r>
      <w:r w:rsidRPr="0028112D">
        <w:rPr>
          <w:color w:val="000000"/>
          <w:sz w:val="20"/>
          <w:szCs w:val="20"/>
        </w:rPr>
        <w:t xml:space="preserve"> independent </w:t>
      </w:r>
      <w:r w:rsidR="00542052">
        <w:rPr>
          <w:color w:val="000000"/>
          <w:sz w:val="20"/>
          <w:szCs w:val="20"/>
        </w:rPr>
        <w:t>measurement gaps (</w:t>
      </w:r>
      <w:r w:rsidRPr="0028112D">
        <w:rPr>
          <w:color w:val="000000"/>
          <w:sz w:val="20"/>
          <w:szCs w:val="20"/>
        </w:rPr>
        <w:t>MG</w:t>
      </w:r>
      <w:r w:rsidR="00542052">
        <w:rPr>
          <w:color w:val="000000"/>
          <w:sz w:val="20"/>
          <w:szCs w:val="20"/>
        </w:rPr>
        <w:t>)</w:t>
      </w:r>
      <w:r w:rsidRPr="0028112D">
        <w:rPr>
          <w:color w:val="000000"/>
          <w:sz w:val="20"/>
          <w:szCs w:val="20"/>
        </w:rPr>
        <w:t xml:space="preserve"> w</w:t>
      </w:r>
      <w:r w:rsidR="00542052">
        <w:rPr>
          <w:color w:val="000000"/>
          <w:sz w:val="20"/>
          <w:szCs w:val="20"/>
        </w:rPr>
        <w:t>ere</w:t>
      </w:r>
      <w:r w:rsidRPr="0028112D">
        <w:rPr>
          <w:color w:val="000000"/>
          <w:sz w:val="20"/>
          <w:szCs w:val="20"/>
        </w:rPr>
        <w:t xml:space="preserve"> designed</w:t>
      </w:r>
      <w:r w:rsidR="00E45E4A">
        <w:rPr>
          <w:color w:val="000000"/>
          <w:sz w:val="20"/>
          <w:szCs w:val="20"/>
        </w:rPr>
        <w:t xml:space="preserve"> such that</w:t>
      </w:r>
      <w:r w:rsidRPr="0028112D">
        <w:rPr>
          <w:color w:val="000000"/>
          <w:sz w:val="20"/>
          <w:szCs w:val="20"/>
        </w:rPr>
        <w:t xml:space="preserve"> per-FR1 MG </w:t>
      </w:r>
      <w:r w:rsidR="00E45E4A">
        <w:rPr>
          <w:color w:val="000000"/>
          <w:sz w:val="20"/>
          <w:szCs w:val="20"/>
        </w:rPr>
        <w:t xml:space="preserve">and </w:t>
      </w:r>
      <w:r w:rsidRPr="0028112D">
        <w:rPr>
          <w:color w:val="000000"/>
          <w:sz w:val="20"/>
          <w:szCs w:val="20"/>
        </w:rPr>
        <w:t>per-FR2 MG</w:t>
      </w:r>
      <w:r w:rsidR="00E45E4A">
        <w:rPr>
          <w:color w:val="000000"/>
          <w:sz w:val="20"/>
          <w:szCs w:val="20"/>
        </w:rPr>
        <w:t xml:space="preserve"> can be configured </w:t>
      </w:r>
      <w:r w:rsidR="00542052">
        <w:rPr>
          <w:color w:val="000000"/>
          <w:sz w:val="20"/>
          <w:szCs w:val="20"/>
        </w:rPr>
        <w:t>separately</w:t>
      </w:r>
      <w:r w:rsidRPr="0028112D">
        <w:rPr>
          <w:color w:val="000000"/>
          <w:sz w:val="20"/>
          <w:szCs w:val="20"/>
        </w:rPr>
        <w:t xml:space="preserve">. The current FR2 MG patterns are listed as below (pattern 12~23). The </w:t>
      </w:r>
      <w:r w:rsidR="00542052">
        <w:rPr>
          <w:color w:val="000000"/>
          <w:sz w:val="20"/>
          <w:szCs w:val="20"/>
        </w:rPr>
        <w:t>Measurement Gap Length (</w:t>
      </w:r>
      <w:r w:rsidRPr="0028112D">
        <w:rPr>
          <w:color w:val="000000"/>
          <w:sz w:val="20"/>
          <w:szCs w:val="20"/>
        </w:rPr>
        <w:t>MGL</w:t>
      </w:r>
      <w:r w:rsidR="00542052">
        <w:rPr>
          <w:color w:val="000000"/>
          <w:sz w:val="20"/>
          <w:szCs w:val="20"/>
        </w:rPr>
        <w:t>)</w:t>
      </w:r>
      <w:r w:rsidRPr="0028112D">
        <w:rPr>
          <w:color w:val="000000"/>
          <w:sz w:val="20"/>
          <w:szCs w:val="20"/>
        </w:rPr>
        <w:t xml:space="preserve"> (1/3/5ms) for FR2 MG is based on the SSB duration under 120kHz and 240kHz, and the RF tuning margin is 250us for one way tuning in legacy FR2. However, if the SSB number is not increased in the SSB burst and the SCS is increased to 960kHz, the current FR2 MGL might be a big waste of the measurement resource. Furthermore, the RF tuning time with higher SCS might be even smaller than 250us, and therefore the per-FR MG for new 60GHz shall be redesigned and the old FR2 MG may not be applicable. It then would be necessary to have an individual FR concept to contain the new MG patterns. </w:t>
      </w:r>
    </w:p>
    <w:tbl>
      <w:tblPr>
        <w:tblStyle w:val="TableGrid"/>
        <w:tblW w:w="0" w:type="auto"/>
        <w:jc w:val="center"/>
        <w:tblLook w:val="04A0" w:firstRow="1" w:lastRow="0" w:firstColumn="1" w:lastColumn="0" w:noHBand="0" w:noVBand="1"/>
      </w:tblPr>
      <w:tblGrid>
        <w:gridCol w:w="5496"/>
      </w:tblGrid>
      <w:tr w:rsidR="005273BE" w14:paraId="47F76D53" w14:textId="77777777" w:rsidTr="00E44217">
        <w:trPr>
          <w:trHeight w:val="7066"/>
          <w:jc w:val="center"/>
        </w:trPr>
        <w:tc>
          <w:tcPr>
            <w:tcW w:w="5311" w:type="dxa"/>
          </w:tcPr>
          <w:p w14:paraId="24E03253" w14:textId="77777777" w:rsidR="005273BE" w:rsidRDefault="005273BE" w:rsidP="00E44217">
            <w:pPr>
              <w:autoSpaceDE w:val="0"/>
              <w:autoSpaceDN w:val="0"/>
              <w:adjustRightInd w:val="0"/>
              <w:jc w:val="both"/>
              <w:rPr>
                <w:color w:val="000000"/>
                <w:sz w:val="20"/>
                <w:szCs w:val="20"/>
              </w:rPr>
            </w:pPr>
            <w:r w:rsidRPr="0028112D">
              <w:rPr>
                <w:noProof/>
                <w:color w:val="000000"/>
                <w:sz w:val="20"/>
                <w:szCs w:val="20"/>
              </w:rPr>
              <w:drawing>
                <wp:inline distT="0" distB="0" distL="0" distR="0" wp14:anchorId="55BC573D" wp14:editId="356B9FF8">
                  <wp:extent cx="3352556" cy="4468642"/>
                  <wp:effectExtent l="0" t="0" r="635" b="1905"/>
                  <wp:docPr id="2" name="Picture 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abl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3358227" cy="4476200"/>
                          </a:xfrm>
                          <a:prstGeom prst="rect">
                            <a:avLst/>
                          </a:prstGeom>
                        </pic:spPr>
                      </pic:pic>
                    </a:graphicData>
                  </a:graphic>
                </wp:inline>
              </w:drawing>
            </w:r>
          </w:p>
        </w:tc>
      </w:tr>
    </w:tbl>
    <w:p w14:paraId="31C85509" w14:textId="77777777" w:rsidR="005273BE" w:rsidRPr="0028112D" w:rsidRDefault="005273BE" w:rsidP="00E45E4A">
      <w:pPr>
        <w:pStyle w:val="ListParagraph"/>
        <w:autoSpaceDE w:val="0"/>
        <w:autoSpaceDN w:val="0"/>
        <w:adjustRightInd w:val="0"/>
        <w:ind w:left="360"/>
        <w:rPr>
          <w:color w:val="000000"/>
          <w:sz w:val="20"/>
          <w:szCs w:val="20"/>
        </w:rPr>
      </w:pPr>
    </w:p>
    <w:p w14:paraId="6D730D83" w14:textId="7D3BA3E4" w:rsidR="005273BE" w:rsidRPr="0028112D" w:rsidRDefault="005273BE" w:rsidP="00E45E4A">
      <w:pPr>
        <w:autoSpaceDE w:val="0"/>
        <w:autoSpaceDN w:val="0"/>
        <w:adjustRightInd w:val="0"/>
        <w:rPr>
          <w:color w:val="000000"/>
          <w:sz w:val="20"/>
          <w:szCs w:val="20"/>
        </w:rPr>
      </w:pPr>
      <w:r w:rsidRPr="0028112D">
        <w:rPr>
          <w:color w:val="000000"/>
          <w:sz w:val="20"/>
          <w:szCs w:val="20"/>
        </w:rPr>
        <w:t>Regarding the UE capability, so far per-FR MG capable UE would have different RF chain</w:t>
      </w:r>
      <w:r w:rsidR="00542052">
        <w:rPr>
          <w:color w:val="000000"/>
          <w:sz w:val="20"/>
          <w:szCs w:val="20"/>
        </w:rPr>
        <w:t>s</w:t>
      </w:r>
      <w:r w:rsidRPr="0028112D">
        <w:rPr>
          <w:color w:val="000000"/>
          <w:sz w:val="20"/>
          <w:szCs w:val="20"/>
        </w:rPr>
        <w:t xml:space="preserve"> between FR1 and FR2, which means those UEs would not have cross FR interruption or interference. In </w:t>
      </w:r>
      <w:r w:rsidR="00542052">
        <w:rPr>
          <w:color w:val="000000"/>
          <w:sz w:val="20"/>
          <w:szCs w:val="20"/>
        </w:rPr>
        <w:t xml:space="preserve">the </w:t>
      </w:r>
      <w:r w:rsidRPr="0028112D">
        <w:rPr>
          <w:color w:val="000000"/>
          <w:sz w:val="20"/>
          <w:szCs w:val="20"/>
        </w:rPr>
        <w:t>current RRM requirement, most of the RRM requirement</w:t>
      </w:r>
      <w:r w:rsidR="00542052">
        <w:rPr>
          <w:color w:val="000000"/>
          <w:sz w:val="20"/>
          <w:szCs w:val="20"/>
        </w:rPr>
        <w:t>s</w:t>
      </w:r>
      <w:r w:rsidRPr="0028112D">
        <w:rPr>
          <w:color w:val="000000"/>
          <w:sz w:val="20"/>
          <w:szCs w:val="20"/>
        </w:rPr>
        <w:t xml:space="preserve"> are related with this UE capability, e.g., interruption, multiple </w:t>
      </w:r>
      <w:proofErr w:type="spellStart"/>
      <w:r w:rsidRPr="0028112D">
        <w:rPr>
          <w:color w:val="000000"/>
          <w:sz w:val="20"/>
          <w:szCs w:val="20"/>
        </w:rPr>
        <w:t>SCell</w:t>
      </w:r>
      <w:proofErr w:type="spellEnd"/>
      <w:r w:rsidRPr="0028112D">
        <w:rPr>
          <w:color w:val="000000"/>
          <w:sz w:val="20"/>
          <w:szCs w:val="20"/>
        </w:rPr>
        <w:t xml:space="preserve"> activation, multiple BWP switching and etc. If </w:t>
      </w:r>
      <w:r w:rsidR="00542052">
        <w:rPr>
          <w:color w:val="000000"/>
          <w:sz w:val="20"/>
          <w:szCs w:val="20"/>
        </w:rPr>
        <w:t xml:space="preserve">the </w:t>
      </w:r>
      <w:r w:rsidRPr="0028112D">
        <w:rPr>
          <w:color w:val="000000"/>
          <w:sz w:val="20"/>
          <w:szCs w:val="20"/>
        </w:rPr>
        <w:t xml:space="preserve">new 60GHz </w:t>
      </w:r>
      <w:r w:rsidR="00726A73">
        <w:rPr>
          <w:color w:val="000000"/>
          <w:sz w:val="20"/>
          <w:szCs w:val="20"/>
        </w:rPr>
        <w:t>design</w:t>
      </w:r>
      <w:r w:rsidR="00542052">
        <w:rPr>
          <w:color w:val="000000"/>
          <w:sz w:val="20"/>
          <w:szCs w:val="20"/>
        </w:rPr>
        <w:t xml:space="preserve"> </w:t>
      </w:r>
      <w:r w:rsidRPr="0028112D">
        <w:rPr>
          <w:color w:val="000000"/>
          <w:sz w:val="20"/>
          <w:szCs w:val="20"/>
        </w:rPr>
        <w:t xml:space="preserve">has </w:t>
      </w:r>
      <w:r w:rsidR="00542052">
        <w:rPr>
          <w:color w:val="000000"/>
          <w:sz w:val="20"/>
          <w:szCs w:val="20"/>
        </w:rPr>
        <w:t xml:space="preserve">a </w:t>
      </w:r>
      <w:r w:rsidRPr="0028112D">
        <w:rPr>
          <w:color w:val="000000"/>
          <w:sz w:val="20"/>
          <w:szCs w:val="20"/>
        </w:rPr>
        <w:t xml:space="preserve">separated RF chain different </w:t>
      </w:r>
      <w:r w:rsidR="00542052">
        <w:rPr>
          <w:color w:val="000000"/>
          <w:sz w:val="20"/>
          <w:szCs w:val="20"/>
        </w:rPr>
        <w:t xml:space="preserve">from the </w:t>
      </w:r>
      <w:r w:rsidRPr="0028112D">
        <w:rPr>
          <w:color w:val="000000"/>
          <w:sz w:val="20"/>
          <w:szCs w:val="20"/>
        </w:rPr>
        <w:t xml:space="preserve"> legacy FR2, it</w:t>
      </w:r>
      <w:r w:rsidR="00542052">
        <w:rPr>
          <w:color w:val="000000"/>
          <w:sz w:val="20"/>
          <w:szCs w:val="20"/>
        </w:rPr>
        <w:t xml:space="preserve"> i</w:t>
      </w:r>
      <w:r w:rsidRPr="0028112D">
        <w:rPr>
          <w:color w:val="000000"/>
          <w:sz w:val="20"/>
          <w:szCs w:val="20"/>
        </w:rPr>
        <w:t xml:space="preserve">s also natural to introduce </w:t>
      </w:r>
      <w:r w:rsidR="00E45E4A">
        <w:rPr>
          <w:color w:val="000000"/>
          <w:sz w:val="20"/>
          <w:szCs w:val="20"/>
        </w:rPr>
        <w:t xml:space="preserve">additional </w:t>
      </w:r>
      <w:r w:rsidRPr="0028112D">
        <w:rPr>
          <w:color w:val="000000"/>
          <w:sz w:val="20"/>
          <w:szCs w:val="20"/>
        </w:rPr>
        <w:t>per-FR3 capability to indicate the 60GHz serving CC would not be interrupted or interfered by the UE activities in FR1 and legacy FR2.</w:t>
      </w:r>
    </w:p>
    <w:p w14:paraId="71DA5339" w14:textId="77777777" w:rsidR="005273BE" w:rsidRPr="0028112D" w:rsidRDefault="005273BE" w:rsidP="005273BE">
      <w:pPr>
        <w:pStyle w:val="ListParagraph"/>
        <w:autoSpaceDE w:val="0"/>
        <w:autoSpaceDN w:val="0"/>
        <w:adjustRightInd w:val="0"/>
        <w:ind w:left="360"/>
        <w:jc w:val="both"/>
        <w:rPr>
          <w:color w:val="000000"/>
          <w:sz w:val="20"/>
          <w:szCs w:val="20"/>
        </w:rPr>
      </w:pPr>
    </w:p>
    <w:p w14:paraId="5FB79CA1" w14:textId="0D19C8D7" w:rsidR="005273BE" w:rsidRDefault="005273BE" w:rsidP="005273BE">
      <w:pPr>
        <w:pStyle w:val="ListParagraph"/>
        <w:numPr>
          <w:ilvl w:val="0"/>
          <w:numId w:val="14"/>
        </w:numPr>
        <w:autoSpaceDE w:val="0"/>
        <w:autoSpaceDN w:val="0"/>
        <w:adjustRightInd w:val="0"/>
        <w:jc w:val="both"/>
        <w:rPr>
          <w:b/>
          <w:bCs/>
          <w:color w:val="000000"/>
          <w:sz w:val="20"/>
          <w:szCs w:val="20"/>
        </w:rPr>
      </w:pPr>
      <w:r w:rsidRPr="00E45E4A">
        <w:rPr>
          <w:b/>
          <w:bCs/>
          <w:color w:val="000000"/>
          <w:sz w:val="20"/>
          <w:szCs w:val="20"/>
        </w:rPr>
        <w:t xml:space="preserve">Beam sweeping </w:t>
      </w:r>
      <w:r w:rsidR="007C4A4E">
        <w:rPr>
          <w:b/>
          <w:bCs/>
          <w:color w:val="000000"/>
          <w:sz w:val="20"/>
          <w:szCs w:val="20"/>
        </w:rPr>
        <w:t>based measurement</w:t>
      </w:r>
      <w:r w:rsidRPr="00E45E4A">
        <w:rPr>
          <w:b/>
          <w:bCs/>
          <w:color w:val="000000"/>
          <w:sz w:val="20"/>
          <w:szCs w:val="20"/>
        </w:rPr>
        <w:t xml:space="preserve"> delay requirements</w:t>
      </w:r>
    </w:p>
    <w:p w14:paraId="1A395897" w14:textId="77777777" w:rsidR="00E45E4A" w:rsidRPr="00E45E4A" w:rsidRDefault="00E45E4A" w:rsidP="00E45E4A">
      <w:pPr>
        <w:pStyle w:val="ListParagraph"/>
        <w:autoSpaceDE w:val="0"/>
        <w:autoSpaceDN w:val="0"/>
        <w:adjustRightInd w:val="0"/>
        <w:ind w:left="360"/>
        <w:rPr>
          <w:b/>
          <w:bCs/>
          <w:color w:val="000000"/>
          <w:sz w:val="20"/>
          <w:szCs w:val="20"/>
        </w:rPr>
      </w:pPr>
    </w:p>
    <w:p w14:paraId="2200AE1F" w14:textId="72720D73" w:rsidR="005273BE" w:rsidRDefault="005273BE" w:rsidP="00E45E4A">
      <w:pPr>
        <w:autoSpaceDE w:val="0"/>
        <w:autoSpaceDN w:val="0"/>
        <w:adjustRightInd w:val="0"/>
        <w:rPr>
          <w:color w:val="000000"/>
          <w:sz w:val="20"/>
          <w:szCs w:val="20"/>
        </w:rPr>
      </w:pPr>
      <w:r w:rsidRPr="0028112D">
        <w:rPr>
          <w:color w:val="000000"/>
          <w:sz w:val="20"/>
          <w:szCs w:val="20"/>
        </w:rPr>
        <w:t>In most of IDLE/CONNECTED</w:t>
      </w:r>
      <w:r w:rsidR="00E45E4A">
        <w:rPr>
          <w:color w:val="000000"/>
          <w:sz w:val="20"/>
          <w:szCs w:val="20"/>
        </w:rPr>
        <w:t xml:space="preserve"> measurement</w:t>
      </w:r>
      <w:r w:rsidRPr="0028112D">
        <w:rPr>
          <w:color w:val="000000"/>
          <w:sz w:val="20"/>
          <w:szCs w:val="20"/>
        </w:rPr>
        <w:t xml:space="preserve"> delay requirements of cell identification</w:t>
      </w:r>
      <w:r w:rsidR="00E45E4A">
        <w:rPr>
          <w:color w:val="000000"/>
          <w:sz w:val="20"/>
          <w:szCs w:val="20"/>
        </w:rPr>
        <w:t xml:space="preserve">, </w:t>
      </w:r>
      <w:r w:rsidRPr="0028112D">
        <w:rPr>
          <w:color w:val="000000"/>
          <w:sz w:val="20"/>
          <w:szCs w:val="20"/>
        </w:rPr>
        <w:t>measurement</w:t>
      </w:r>
      <w:r w:rsidR="00E45E4A">
        <w:rPr>
          <w:color w:val="000000"/>
          <w:sz w:val="20"/>
          <w:szCs w:val="20"/>
        </w:rPr>
        <w:t xml:space="preserve">, </w:t>
      </w:r>
      <w:r w:rsidRPr="0028112D">
        <w:rPr>
          <w:color w:val="000000"/>
          <w:sz w:val="20"/>
          <w:szCs w:val="20"/>
        </w:rPr>
        <w:t>handover</w:t>
      </w:r>
      <w:r w:rsidR="00E45E4A">
        <w:rPr>
          <w:color w:val="000000"/>
          <w:sz w:val="20"/>
          <w:szCs w:val="20"/>
        </w:rPr>
        <w:t xml:space="preserve">, </w:t>
      </w:r>
      <w:r w:rsidRPr="0028112D">
        <w:rPr>
          <w:color w:val="000000"/>
          <w:sz w:val="20"/>
          <w:szCs w:val="20"/>
        </w:rPr>
        <w:t>RLM</w:t>
      </w:r>
      <w:r w:rsidR="00E45E4A">
        <w:rPr>
          <w:color w:val="000000"/>
          <w:sz w:val="20"/>
          <w:szCs w:val="20"/>
        </w:rPr>
        <w:t xml:space="preserve">, </w:t>
      </w:r>
      <w:r w:rsidRPr="0028112D">
        <w:rPr>
          <w:color w:val="000000"/>
          <w:sz w:val="20"/>
          <w:szCs w:val="20"/>
        </w:rPr>
        <w:t>beam-management</w:t>
      </w:r>
      <w:r w:rsidR="00E45E4A">
        <w:rPr>
          <w:color w:val="000000"/>
          <w:sz w:val="20"/>
          <w:szCs w:val="20"/>
        </w:rPr>
        <w:t xml:space="preserve">, </w:t>
      </w:r>
      <w:r w:rsidRPr="0028112D">
        <w:rPr>
          <w:color w:val="000000"/>
          <w:sz w:val="20"/>
          <w:szCs w:val="20"/>
        </w:rPr>
        <w:t>re-</w:t>
      </w:r>
      <w:r w:rsidR="00E45E4A" w:rsidRPr="0028112D">
        <w:rPr>
          <w:color w:val="000000"/>
          <w:sz w:val="20"/>
          <w:szCs w:val="20"/>
        </w:rPr>
        <w:t>establishment</w:t>
      </w:r>
      <w:r w:rsidR="00E45E4A">
        <w:rPr>
          <w:color w:val="000000"/>
          <w:sz w:val="20"/>
          <w:szCs w:val="20"/>
        </w:rPr>
        <w:t xml:space="preserve"> and </w:t>
      </w:r>
      <w:r w:rsidRPr="0028112D">
        <w:rPr>
          <w:color w:val="000000"/>
          <w:sz w:val="20"/>
          <w:szCs w:val="20"/>
        </w:rPr>
        <w:t xml:space="preserve">redirection, the beam sweeping scaling factor is designed as 8 for FR2 (band agnostic), and some examples are shown as below.  However, if the narrower beam is used for </w:t>
      </w:r>
      <w:r w:rsidR="00542052">
        <w:rPr>
          <w:color w:val="000000"/>
          <w:sz w:val="20"/>
          <w:szCs w:val="20"/>
        </w:rPr>
        <w:t xml:space="preserve">the </w:t>
      </w:r>
      <w:r w:rsidRPr="0028112D">
        <w:rPr>
          <w:color w:val="000000"/>
          <w:sz w:val="20"/>
          <w:szCs w:val="20"/>
        </w:rPr>
        <w:t>new 60GHz scenario</w:t>
      </w:r>
      <w:r w:rsidR="00542052">
        <w:rPr>
          <w:color w:val="000000"/>
          <w:sz w:val="20"/>
          <w:szCs w:val="20"/>
        </w:rPr>
        <w:t>,</w:t>
      </w:r>
      <w:r w:rsidRPr="0028112D">
        <w:rPr>
          <w:color w:val="000000"/>
          <w:sz w:val="20"/>
          <w:szCs w:val="20"/>
        </w:rPr>
        <w:t xml:space="preserve"> </w:t>
      </w:r>
      <w:r w:rsidRPr="0028112D">
        <w:rPr>
          <w:color w:val="000000"/>
          <w:sz w:val="20"/>
          <w:szCs w:val="20"/>
        </w:rPr>
        <w:lastRenderedPageBreak/>
        <w:t xml:space="preserve">the scaling factor may need </w:t>
      </w:r>
      <w:r w:rsidR="00E45E4A">
        <w:rPr>
          <w:color w:val="000000"/>
          <w:sz w:val="20"/>
          <w:szCs w:val="20"/>
        </w:rPr>
        <w:t>to be revisited</w:t>
      </w:r>
      <w:r w:rsidRPr="0028112D">
        <w:rPr>
          <w:color w:val="000000"/>
          <w:sz w:val="20"/>
          <w:szCs w:val="20"/>
        </w:rPr>
        <w:t xml:space="preserve"> (the beam sweeping number might be larger than 8)</w:t>
      </w:r>
      <w:r w:rsidR="00E45E4A">
        <w:rPr>
          <w:color w:val="000000"/>
          <w:sz w:val="20"/>
          <w:szCs w:val="20"/>
        </w:rPr>
        <w:t>. As a result, many of</w:t>
      </w:r>
      <w:r w:rsidRPr="0028112D">
        <w:rPr>
          <w:color w:val="000000"/>
          <w:sz w:val="20"/>
          <w:szCs w:val="20"/>
        </w:rPr>
        <w:t xml:space="preserve"> current FR2</w:t>
      </w:r>
      <w:r w:rsidR="00E45E4A">
        <w:rPr>
          <w:color w:val="000000"/>
          <w:sz w:val="20"/>
          <w:szCs w:val="20"/>
        </w:rPr>
        <w:t xml:space="preserve"> band agnostic requirements</w:t>
      </w:r>
      <w:r w:rsidRPr="0028112D">
        <w:rPr>
          <w:color w:val="000000"/>
          <w:sz w:val="20"/>
          <w:szCs w:val="20"/>
        </w:rPr>
        <w:t xml:space="preserve"> </w:t>
      </w:r>
      <w:r w:rsidR="00542052">
        <w:rPr>
          <w:color w:val="000000"/>
          <w:sz w:val="20"/>
          <w:szCs w:val="20"/>
        </w:rPr>
        <w:t>will</w:t>
      </w:r>
      <w:r w:rsidR="00542052" w:rsidRPr="0028112D">
        <w:rPr>
          <w:color w:val="000000"/>
          <w:sz w:val="20"/>
          <w:szCs w:val="20"/>
        </w:rPr>
        <w:t xml:space="preserve"> </w:t>
      </w:r>
      <w:r w:rsidR="00E45E4A">
        <w:rPr>
          <w:color w:val="000000"/>
          <w:sz w:val="20"/>
          <w:szCs w:val="20"/>
        </w:rPr>
        <w:t xml:space="preserve">not </w:t>
      </w:r>
      <w:r w:rsidR="00542052">
        <w:rPr>
          <w:color w:val="000000"/>
          <w:sz w:val="20"/>
          <w:szCs w:val="20"/>
        </w:rPr>
        <w:t xml:space="preserve">be </w:t>
      </w:r>
      <w:r w:rsidR="00E45E4A">
        <w:rPr>
          <w:color w:val="000000"/>
          <w:sz w:val="20"/>
          <w:szCs w:val="20"/>
        </w:rPr>
        <w:t>applicable to</w:t>
      </w:r>
      <w:r w:rsidRPr="0028112D">
        <w:rPr>
          <w:color w:val="000000"/>
          <w:sz w:val="20"/>
          <w:szCs w:val="20"/>
        </w:rPr>
        <w:t xml:space="preserve"> 60GHz if</w:t>
      </w:r>
      <w:r w:rsidR="009A758A">
        <w:rPr>
          <w:color w:val="000000"/>
          <w:sz w:val="20"/>
          <w:szCs w:val="20"/>
        </w:rPr>
        <w:t xml:space="preserve"> </w:t>
      </w:r>
      <w:r w:rsidRPr="0028112D">
        <w:rPr>
          <w:color w:val="000000"/>
          <w:sz w:val="20"/>
          <w:szCs w:val="20"/>
        </w:rPr>
        <w:t xml:space="preserve">FR2 </w:t>
      </w:r>
      <w:r w:rsidR="009A758A">
        <w:rPr>
          <w:color w:val="000000"/>
          <w:sz w:val="20"/>
          <w:szCs w:val="20"/>
        </w:rPr>
        <w:t>is extended to cover</w:t>
      </w:r>
      <w:r w:rsidRPr="0028112D">
        <w:rPr>
          <w:color w:val="000000"/>
          <w:sz w:val="20"/>
          <w:szCs w:val="20"/>
        </w:rPr>
        <w:t xml:space="preserve"> 60GHz.</w:t>
      </w:r>
    </w:p>
    <w:p w14:paraId="6BB208D4" w14:textId="77777777" w:rsidR="00542052" w:rsidRPr="0028112D" w:rsidRDefault="00542052" w:rsidP="00E45E4A">
      <w:pPr>
        <w:autoSpaceDE w:val="0"/>
        <w:autoSpaceDN w:val="0"/>
        <w:adjustRightInd w:val="0"/>
        <w:rPr>
          <w:color w:val="000000"/>
          <w:sz w:val="20"/>
          <w:szCs w:val="20"/>
        </w:rPr>
      </w:pPr>
    </w:p>
    <w:tbl>
      <w:tblPr>
        <w:tblStyle w:val="TableGrid"/>
        <w:tblW w:w="9709" w:type="dxa"/>
        <w:tblInd w:w="360" w:type="dxa"/>
        <w:tblLook w:val="04A0" w:firstRow="1" w:lastRow="0" w:firstColumn="1" w:lastColumn="0" w:noHBand="0" w:noVBand="1"/>
      </w:tblPr>
      <w:tblGrid>
        <w:gridCol w:w="9709"/>
      </w:tblGrid>
      <w:tr w:rsidR="005273BE" w:rsidRPr="0028112D" w14:paraId="605EB054" w14:textId="77777777" w:rsidTr="00E44217">
        <w:trPr>
          <w:trHeight w:val="2993"/>
        </w:trPr>
        <w:tc>
          <w:tcPr>
            <w:tcW w:w="9709" w:type="dxa"/>
          </w:tcPr>
          <w:p w14:paraId="0F24A8BE"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color w:val="000000"/>
                <w:sz w:val="20"/>
                <w:szCs w:val="20"/>
              </w:rPr>
              <w:t>IDLE mode cell detection requirement</w:t>
            </w:r>
          </w:p>
          <w:p w14:paraId="0C6A2D76"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noProof/>
                <w:color w:val="000000"/>
                <w:sz w:val="20"/>
                <w:szCs w:val="20"/>
              </w:rPr>
              <w:drawing>
                <wp:inline distT="0" distB="0" distL="0" distR="0" wp14:anchorId="7CE4BAA4" wp14:editId="6DD925B4">
                  <wp:extent cx="5943600" cy="2026285"/>
                  <wp:effectExtent l="0" t="0" r="0" b="5715"/>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3600" cy="2026285"/>
                          </a:xfrm>
                          <a:prstGeom prst="rect">
                            <a:avLst/>
                          </a:prstGeom>
                        </pic:spPr>
                      </pic:pic>
                    </a:graphicData>
                  </a:graphic>
                </wp:inline>
              </w:drawing>
            </w:r>
          </w:p>
        </w:tc>
      </w:tr>
      <w:tr w:rsidR="005273BE" w:rsidRPr="0028112D" w14:paraId="5F199683" w14:textId="77777777" w:rsidTr="00E44217">
        <w:trPr>
          <w:trHeight w:val="2993"/>
        </w:trPr>
        <w:tc>
          <w:tcPr>
            <w:tcW w:w="9709" w:type="dxa"/>
          </w:tcPr>
          <w:p w14:paraId="2B9F63A7"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color w:val="000000"/>
                <w:sz w:val="20"/>
                <w:szCs w:val="20"/>
              </w:rPr>
              <w:t>RLM evaluation requirement</w:t>
            </w:r>
          </w:p>
          <w:p w14:paraId="1CBECF0B"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noProof/>
                <w:color w:val="000000"/>
                <w:sz w:val="20"/>
                <w:szCs w:val="20"/>
              </w:rPr>
              <w:drawing>
                <wp:inline distT="0" distB="0" distL="0" distR="0" wp14:anchorId="3E885B9C" wp14:editId="102F34D5">
                  <wp:extent cx="5943600" cy="1841500"/>
                  <wp:effectExtent l="0" t="0" r="0" b="0"/>
                  <wp:docPr id="4" name="Picture 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Graphical user interface, text, application&#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43600" cy="1841500"/>
                          </a:xfrm>
                          <a:prstGeom prst="rect">
                            <a:avLst/>
                          </a:prstGeom>
                        </pic:spPr>
                      </pic:pic>
                    </a:graphicData>
                  </a:graphic>
                </wp:inline>
              </w:drawing>
            </w:r>
          </w:p>
        </w:tc>
      </w:tr>
    </w:tbl>
    <w:p w14:paraId="73AFFE4C" w14:textId="77777777" w:rsidR="005273BE" w:rsidRPr="0028112D" w:rsidRDefault="005273BE" w:rsidP="005273BE">
      <w:pPr>
        <w:pStyle w:val="ListParagraph"/>
        <w:autoSpaceDE w:val="0"/>
        <w:autoSpaceDN w:val="0"/>
        <w:adjustRightInd w:val="0"/>
        <w:ind w:left="360"/>
        <w:jc w:val="both"/>
        <w:rPr>
          <w:color w:val="000000"/>
          <w:sz w:val="20"/>
          <w:szCs w:val="20"/>
        </w:rPr>
      </w:pPr>
    </w:p>
    <w:p w14:paraId="41BB9A3A" w14:textId="47BA6F9C" w:rsidR="005273BE" w:rsidRDefault="005273BE" w:rsidP="005273BE">
      <w:pPr>
        <w:pStyle w:val="ListParagraph"/>
        <w:numPr>
          <w:ilvl w:val="0"/>
          <w:numId w:val="14"/>
        </w:numPr>
        <w:autoSpaceDE w:val="0"/>
        <w:autoSpaceDN w:val="0"/>
        <w:adjustRightInd w:val="0"/>
        <w:jc w:val="both"/>
        <w:rPr>
          <w:b/>
          <w:bCs/>
          <w:color w:val="000000"/>
          <w:sz w:val="20"/>
          <w:szCs w:val="20"/>
        </w:rPr>
      </w:pPr>
      <w:r w:rsidRPr="007C4A4E">
        <w:rPr>
          <w:b/>
          <w:bCs/>
          <w:color w:val="000000"/>
          <w:sz w:val="20"/>
          <w:szCs w:val="20"/>
        </w:rPr>
        <w:t xml:space="preserve">Accuracy requirement </w:t>
      </w:r>
    </w:p>
    <w:p w14:paraId="56589959" w14:textId="77777777" w:rsidR="007C4A4E" w:rsidRPr="007C4A4E" w:rsidRDefault="007C4A4E" w:rsidP="007C4A4E">
      <w:pPr>
        <w:pStyle w:val="ListParagraph"/>
        <w:autoSpaceDE w:val="0"/>
        <w:autoSpaceDN w:val="0"/>
        <w:adjustRightInd w:val="0"/>
        <w:ind w:left="360"/>
        <w:jc w:val="both"/>
        <w:rPr>
          <w:b/>
          <w:bCs/>
          <w:color w:val="000000"/>
          <w:sz w:val="20"/>
          <w:szCs w:val="20"/>
        </w:rPr>
      </w:pPr>
    </w:p>
    <w:p w14:paraId="55187D35" w14:textId="1C7ADBCE" w:rsidR="005273BE" w:rsidRDefault="005273BE" w:rsidP="005273BE">
      <w:pPr>
        <w:autoSpaceDE w:val="0"/>
        <w:autoSpaceDN w:val="0"/>
        <w:adjustRightInd w:val="0"/>
        <w:jc w:val="both"/>
        <w:rPr>
          <w:color w:val="000000"/>
          <w:sz w:val="20"/>
          <w:szCs w:val="20"/>
        </w:rPr>
      </w:pPr>
      <w:r w:rsidRPr="0028112D">
        <w:rPr>
          <w:color w:val="000000"/>
          <w:sz w:val="20"/>
          <w:szCs w:val="20"/>
        </w:rPr>
        <w:t>In the current RSRP/RSRQ/SINR accuracy requirement</w:t>
      </w:r>
      <w:r w:rsidR="007C4A4E">
        <w:rPr>
          <w:color w:val="000000"/>
          <w:sz w:val="20"/>
          <w:szCs w:val="20"/>
        </w:rPr>
        <w:t>s</w:t>
      </w:r>
      <w:r w:rsidRPr="0028112D">
        <w:rPr>
          <w:color w:val="000000"/>
          <w:sz w:val="20"/>
          <w:szCs w:val="20"/>
        </w:rPr>
        <w:t xml:space="preserve">, </w:t>
      </w:r>
      <w:r w:rsidR="00542052">
        <w:rPr>
          <w:color w:val="000000"/>
          <w:sz w:val="20"/>
          <w:szCs w:val="20"/>
        </w:rPr>
        <w:t xml:space="preserve">the </w:t>
      </w:r>
      <w:r w:rsidRPr="0028112D">
        <w:rPr>
          <w:color w:val="000000"/>
          <w:sz w:val="20"/>
          <w:szCs w:val="20"/>
        </w:rPr>
        <w:t>RF calibration margin</w:t>
      </w:r>
      <w:r w:rsidR="007C4A4E">
        <w:rPr>
          <w:color w:val="000000"/>
          <w:sz w:val="20"/>
          <w:szCs w:val="20"/>
        </w:rPr>
        <w:t xml:space="preserve"> is band agnostic in FR2. It</w:t>
      </w:r>
      <w:r w:rsidRPr="0028112D">
        <w:rPr>
          <w:color w:val="000000"/>
          <w:sz w:val="20"/>
          <w:szCs w:val="20"/>
        </w:rPr>
        <w:t xml:space="preserve"> has been taken into account in </w:t>
      </w:r>
      <w:r w:rsidR="007C4A4E">
        <w:rPr>
          <w:color w:val="000000"/>
          <w:sz w:val="20"/>
          <w:szCs w:val="20"/>
        </w:rPr>
        <w:t>almost all measurement accuracy requirements.</w:t>
      </w:r>
      <w:r w:rsidRPr="0028112D">
        <w:rPr>
          <w:color w:val="000000"/>
          <w:sz w:val="20"/>
          <w:szCs w:val="20"/>
        </w:rPr>
        <w:t xml:space="preserve"> RF calibration margin </w:t>
      </w:r>
      <w:r w:rsidR="007C4A4E">
        <w:rPr>
          <w:color w:val="000000"/>
          <w:sz w:val="20"/>
          <w:szCs w:val="20"/>
        </w:rPr>
        <w:t>is specified based on certain assumption</w:t>
      </w:r>
      <w:r w:rsidR="00542052">
        <w:rPr>
          <w:color w:val="000000"/>
          <w:sz w:val="20"/>
          <w:szCs w:val="20"/>
        </w:rPr>
        <w:t>s</w:t>
      </w:r>
      <w:r w:rsidR="007C4A4E">
        <w:rPr>
          <w:color w:val="000000"/>
          <w:sz w:val="20"/>
          <w:szCs w:val="20"/>
        </w:rPr>
        <w:t xml:space="preserve"> of</w:t>
      </w:r>
      <w:r w:rsidRPr="0028112D">
        <w:rPr>
          <w:color w:val="000000"/>
          <w:sz w:val="20"/>
          <w:szCs w:val="20"/>
        </w:rPr>
        <w:t xml:space="preserve"> the RF antenna array</w:t>
      </w:r>
      <w:r w:rsidR="007C4A4E">
        <w:rPr>
          <w:color w:val="000000"/>
          <w:sz w:val="20"/>
          <w:szCs w:val="20"/>
        </w:rPr>
        <w:t xml:space="preserve"> size and </w:t>
      </w:r>
      <w:r w:rsidRPr="0028112D">
        <w:rPr>
          <w:color w:val="000000"/>
          <w:sz w:val="20"/>
          <w:szCs w:val="20"/>
        </w:rPr>
        <w:t xml:space="preserve">number. </w:t>
      </w:r>
      <w:r w:rsidR="007C4A4E">
        <w:rPr>
          <w:color w:val="000000"/>
          <w:sz w:val="20"/>
          <w:szCs w:val="20"/>
        </w:rPr>
        <w:t>It is uncerta</w:t>
      </w:r>
      <w:r w:rsidR="00542052">
        <w:rPr>
          <w:color w:val="000000"/>
          <w:sz w:val="20"/>
          <w:szCs w:val="20"/>
        </w:rPr>
        <w:t>in</w:t>
      </w:r>
      <w:r w:rsidR="007C4A4E">
        <w:rPr>
          <w:color w:val="000000"/>
          <w:sz w:val="20"/>
          <w:szCs w:val="20"/>
        </w:rPr>
        <w:t xml:space="preserve"> if such </w:t>
      </w:r>
      <w:r w:rsidR="00542052">
        <w:rPr>
          <w:color w:val="000000"/>
          <w:sz w:val="20"/>
          <w:szCs w:val="20"/>
        </w:rPr>
        <w:t xml:space="preserve">an </w:t>
      </w:r>
      <w:r w:rsidR="007C4A4E">
        <w:rPr>
          <w:color w:val="000000"/>
          <w:sz w:val="20"/>
          <w:szCs w:val="20"/>
        </w:rPr>
        <w:t>assumption and calibration margin can be extended to 60GHz</w:t>
      </w:r>
      <w:r w:rsidR="00542052">
        <w:rPr>
          <w:color w:val="000000"/>
          <w:sz w:val="20"/>
          <w:szCs w:val="20"/>
        </w:rPr>
        <w:t xml:space="preserve"> especially with the possibility of smaller array sizes or increased number of arrays with the reduction in wavelength compared with FR2</w:t>
      </w:r>
      <w:r w:rsidR="007C4A4E">
        <w:rPr>
          <w:color w:val="000000"/>
          <w:sz w:val="20"/>
          <w:szCs w:val="20"/>
        </w:rPr>
        <w:t xml:space="preserve">. If not, the band agnostic FR2 accuracy requirements </w:t>
      </w:r>
      <w:r w:rsidRPr="0028112D">
        <w:rPr>
          <w:color w:val="000000"/>
          <w:sz w:val="20"/>
          <w:szCs w:val="20"/>
        </w:rPr>
        <w:t>cannot be applied for this 60GHz measurement. Moreover, in IDLE mode</w:t>
      </w:r>
      <w:r w:rsidR="00542052">
        <w:rPr>
          <w:color w:val="000000"/>
          <w:sz w:val="20"/>
          <w:szCs w:val="20"/>
        </w:rPr>
        <w:t>,</w:t>
      </w:r>
      <w:r w:rsidRPr="0028112D">
        <w:rPr>
          <w:color w:val="000000"/>
          <w:sz w:val="20"/>
          <w:szCs w:val="20"/>
        </w:rPr>
        <w:t xml:space="preserve"> the re-selection rank is specified based on measurement accuracy and also on a per-FR basis(shown as below), and similar as accuracy requirement, the existing ranking requirement cannot be applied for cell reselection on 60GHz. </w:t>
      </w:r>
    </w:p>
    <w:p w14:paraId="32392A67" w14:textId="77777777" w:rsidR="007C4A4E" w:rsidRPr="0028112D" w:rsidRDefault="007C4A4E" w:rsidP="005273BE">
      <w:pPr>
        <w:autoSpaceDE w:val="0"/>
        <w:autoSpaceDN w:val="0"/>
        <w:adjustRightInd w:val="0"/>
        <w:jc w:val="both"/>
        <w:rPr>
          <w:color w:val="000000"/>
          <w:sz w:val="20"/>
          <w:szCs w:val="20"/>
        </w:rPr>
      </w:pPr>
    </w:p>
    <w:tbl>
      <w:tblPr>
        <w:tblStyle w:val="TableGrid"/>
        <w:tblW w:w="9709" w:type="dxa"/>
        <w:tblInd w:w="360" w:type="dxa"/>
        <w:tblLook w:val="04A0" w:firstRow="1" w:lastRow="0" w:firstColumn="1" w:lastColumn="0" w:noHBand="0" w:noVBand="1"/>
      </w:tblPr>
      <w:tblGrid>
        <w:gridCol w:w="9709"/>
      </w:tblGrid>
      <w:tr w:rsidR="005273BE" w:rsidRPr="0028112D" w14:paraId="32374C61" w14:textId="77777777" w:rsidTr="00E44217">
        <w:trPr>
          <w:trHeight w:val="2993"/>
        </w:trPr>
        <w:tc>
          <w:tcPr>
            <w:tcW w:w="9709" w:type="dxa"/>
          </w:tcPr>
          <w:p w14:paraId="278847CD"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color w:val="000000"/>
                <w:sz w:val="20"/>
                <w:szCs w:val="20"/>
              </w:rPr>
              <w:lastRenderedPageBreak/>
              <w:t>IDLE mode cell reselection rank requirement</w:t>
            </w:r>
            <w:r w:rsidRPr="0028112D">
              <w:rPr>
                <w:noProof/>
                <w:color w:val="000000"/>
                <w:sz w:val="20"/>
                <w:szCs w:val="20"/>
              </w:rPr>
              <w:drawing>
                <wp:inline distT="0" distB="0" distL="0" distR="0" wp14:anchorId="7E0A9BF4" wp14:editId="780DD1E7">
                  <wp:extent cx="5873261" cy="3481288"/>
                  <wp:effectExtent l="0" t="0" r="0" b="0"/>
                  <wp:docPr id="7" name="Picture 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 email&#10;&#10;Description automatically generated"/>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874955" cy="3482292"/>
                          </a:xfrm>
                          <a:prstGeom prst="rect">
                            <a:avLst/>
                          </a:prstGeom>
                        </pic:spPr>
                      </pic:pic>
                    </a:graphicData>
                  </a:graphic>
                </wp:inline>
              </w:drawing>
            </w:r>
          </w:p>
        </w:tc>
      </w:tr>
    </w:tbl>
    <w:p w14:paraId="0E79F4F7" w14:textId="77777777" w:rsidR="005273BE" w:rsidRPr="0028112D" w:rsidRDefault="005273BE" w:rsidP="005273BE">
      <w:pPr>
        <w:pStyle w:val="ListParagraph"/>
        <w:autoSpaceDE w:val="0"/>
        <w:autoSpaceDN w:val="0"/>
        <w:adjustRightInd w:val="0"/>
        <w:ind w:left="360"/>
        <w:jc w:val="both"/>
        <w:rPr>
          <w:color w:val="000000"/>
          <w:sz w:val="20"/>
          <w:szCs w:val="20"/>
        </w:rPr>
      </w:pPr>
    </w:p>
    <w:p w14:paraId="77B76565" w14:textId="75D0743D" w:rsidR="005273BE" w:rsidRDefault="005273BE" w:rsidP="005273BE">
      <w:pPr>
        <w:pStyle w:val="ListParagraph"/>
        <w:numPr>
          <w:ilvl w:val="0"/>
          <w:numId w:val="14"/>
        </w:numPr>
        <w:autoSpaceDE w:val="0"/>
        <w:autoSpaceDN w:val="0"/>
        <w:adjustRightInd w:val="0"/>
        <w:jc w:val="both"/>
        <w:rPr>
          <w:b/>
          <w:bCs/>
          <w:color w:val="000000"/>
          <w:sz w:val="20"/>
          <w:szCs w:val="20"/>
        </w:rPr>
      </w:pPr>
      <w:r w:rsidRPr="007C4A4E">
        <w:rPr>
          <w:b/>
          <w:bCs/>
          <w:color w:val="000000"/>
          <w:sz w:val="20"/>
          <w:szCs w:val="20"/>
        </w:rPr>
        <w:t xml:space="preserve">Timing requirement </w:t>
      </w:r>
    </w:p>
    <w:p w14:paraId="5908430B" w14:textId="77777777" w:rsidR="007C4A4E" w:rsidRPr="007C4A4E" w:rsidRDefault="007C4A4E" w:rsidP="007C4A4E">
      <w:pPr>
        <w:autoSpaceDE w:val="0"/>
        <w:autoSpaceDN w:val="0"/>
        <w:adjustRightInd w:val="0"/>
        <w:jc w:val="both"/>
        <w:rPr>
          <w:b/>
          <w:bCs/>
          <w:color w:val="000000"/>
          <w:sz w:val="20"/>
          <w:szCs w:val="20"/>
        </w:rPr>
      </w:pPr>
    </w:p>
    <w:p w14:paraId="51B9C056" w14:textId="60AAFE4F" w:rsidR="005273BE" w:rsidRDefault="005273BE" w:rsidP="005273BE">
      <w:pPr>
        <w:autoSpaceDE w:val="0"/>
        <w:autoSpaceDN w:val="0"/>
        <w:adjustRightInd w:val="0"/>
        <w:jc w:val="both"/>
        <w:rPr>
          <w:color w:val="000000"/>
          <w:sz w:val="20"/>
          <w:szCs w:val="20"/>
        </w:rPr>
      </w:pPr>
      <w:r w:rsidRPr="0028112D">
        <w:rPr>
          <w:color w:val="000000"/>
          <w:sz w:val="20"/>
          <w:szCs w:val="20"/>
        </w:rPr>
        <w:t xml:space="preserve">In </w:t>
      </w:r>
      <w:r w:rsidR="00726A73">
        <w:rPr>
          <w:color w:val="000000"/>
          <w:sz w:val="20"/>
          <w:szCs w:val="20"/>
        </w:rPr>
        <w:t xml:space="preserve">the </w:t>
      </w:r>
      <w:r w:rsidRPr="0028112D">
        <w:rPr>
          <w:color w:val="000000"/>
          <w:sz w:val="20"/>
          <w:szCs w:val="20"/>
        </w:rPr>
        <w:t>current RAN4 timing requirement, e.g., MRTD/MTTD or SFTD measurement, FR specific requirement</w:t>
      </w:r>
      <w:r w:rsidR="007C4A4E">
        <w:rPr>
          <w:color w:val="000000"/>
          <w:sz w:val="20"/>
          <w:szCs w:val="20"/>
        </w:rPr>
        <w:t>s are defined</w:t>
      </w:r>
      <w:r w:rsidRPr="0028112D">
        <w:rPr>
          <w:color w:val="000000"/>
          <w:sz w:val="20"/>
          <w:szCs w:val="20"/>
        </w:rPr>
        <w:t xml:space="preserve"> to reflect the different scenarios. For instance, in inter-band NR CA MRTD requirement (shown as below), the FR2 MRTD is define based on</w:t>
      </w:r>
      <w:r w:rsidR="00726A73">
        <w:rPr>
          <w:color w:val="000000"/>
          <w:sz w:val="20"/>
          <w:szCs w:val="20"/>
        </w:rPr>
        <w:t xml:space="preserve"> the</w:t>
      </w:r>
      <w:r w:rsidRPr="0028112D">
        <w:rPr>
          <w:color w:val="000000"/>
          <w:sz w:val="20"/>
          <w:szCs w:val="20"/>
        </w:rPr>
        <w:t xml:space="preserve"> propagation delay difference between CCs and TAE. However, in </w:t>
      </w:r>
      <w:r w:rsidR="00726A73">
        <w:rPr>
          <w:color w:val="000000"/>
          <w:sz w:val="20"/>
          <w:szCs w:val="20"/>
        </w:rPr>
        <w:t xml:space="preserve">the </w:t>
      </w:r>
      <w:r w:rsidRPr="0028112D">
        <w:rPr>
          <w:color w:val="000000"/>
          <w:sz w:val="20"/>
          <w:szCs w:val="20"/>
        </w:rPr>
        <w:t>new 60GHz deployment, the cell coverage of such high spectrum would naturally shrink compared with the legacy FR2 deployment, and therefore the existing propagation delay difference shall be revised accordingly and the existing FR2 requirement cannot be used for new 60GHz case. On the other hand, in this 60GHz case, the legacy FR2 TAE in inter-band CA (3us) is much larger than 1 symbols length with SCS=960kHz, and RAN4 also needs to consider if</w:t>
      </w:r>
      <w:r w:rsidR="00726A73">
        <w:rPr>
          <w:color w:val="000000"/>
          <w:sz w:val="20"/>
          <w:szCs w:val="20"/>
        </w:rPr>
        <w:t xml:space="preserve"> a</w:t>
      </w:r>
      <w:r w:rsidRPr="0028112D">
        <w:rPr>
          <w:color w:val="000000"/>
          <w:sz w:val="20"/>
          <w:szCs w:val="20"/>
        </w:rPr>
        <w:t xml:space="preserve"> new FR shall be used for </w:t>
      </w:r>
      <w:r w:rsidR="00726A73">
        <w:rPr>
          <w:color w:val="000000"/>
          <w:sz w:val="20"/>
          <w:szCs w:val="20"/>
        </w:rPr>
        <w:t xml:space="preserve">the </w:t>
      </w:r>
      <w:r w:rsidRPr="0028112D">
        <w:rPr>
          <w:color w:val="000000"/>
          <w:sz w:val="20"/>
          <w:szCs w:val="20"/>
        </w:rPr>
        <w:t>TAE requirement.</w:t>
      </w:r>
    </w:p>
    <w:p w14:paraId="5E148BC4" w14:textId="77777777" w:rsidR="005273BE" w:rsidRPr="0028112D" w:rsidRDefault="005273BE" w:rsidP="005273BE">
      <w:pPr>
        <w:autoSpaceDE w:val="0"/>
        <w:autoSpaceDN w:val="0"/>
        <w:adjustRightInd w:val="0"/>
        <w:jc w:val="both"/>
        <w:rPr>
          <w:color w:val="000000"/>
          <w:sz w:val="20"/>
          <w:szCs w:val="20"/>
        </w:rPr>
      </w:pPr>
    </w:p>
    <w:tbl>
      <w:tblPr>
        <w:tblStyle w:val="TableGrid"/>
        <w:tblW w:w="0" w:type="auto"/>
        <w:tblInd w:w="360" w:type="dxa"/>
        <w:tblLook w:val="04A0" w:firstRow="1" w:lastRow="0" w:firstColumn="1" w:lastColumn="0" w:noHBand="0" w:noVBand="1"/>
      </w:tblPr>
      <w:tblGrid>
        <w:gridCol w:w="9271"/>
      </w:tblGrid>
      <w:tr w:rsidR="005273BE" w:rsidRPr="0028112D" w14:paraId="7DD755EE" w14:textId="77777777" w:rsidTr="00E44217">
        <w:tc>
          <w:tcPr>
            <w:tcW w:w="9350" w:type="dxa"/>
          </w:tcPr>
          <w:p w14:paraId="5542C6F4" w14:textId="77777777" w:rsidR="005273BE" w:rsidRPr="0028112D" w:rsidRDefault="005273BE" w:rsidP="00E44217">
            <w:pPr>
              <w:pStyle w:val="ListParagraph"/>
              <w:autoSpaceDE w:val="0"/>
              <w:autoSpaceDN w:val="0"/>
              <w:adjustRightInd w:val="0"/>
              <w:ind w:left="0"/>
              <w:jc w:val="both"/>
              <w:rPr>
                <w:color w:val="000000"/>
                <w:sz w:val="20"/>
                <w:szCs w:val="20"/>
              </w:rPr>
            </w:pPr>
            <w:r w:rsidRPr="0028112D">
              <w:rPr>
                <w:noProof/>
                <w:color w:val="000000"/>
                <w:sz w:val="20"/>
                <w:szCs w:val="20"/>
              </w:rPr>
              <w:drawing>
                <wp:inline distT="0" distB="0" distL="0" distR="0" wp14:anchorId="453A8B45" wp14:editId="71FDB5BF">
                  <wp:extent cx="5943600" cy="1446530"/>
                  <wp:effectExtent l="0" t="0" r="0" b="1270"/>
                  <wp:docPr id="8" name="Picture 8"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Table&#10;&#10;Description automatically generated"/>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943600" cy="1446530"/>
                          </a:xfrm>
                          <a:prstGeom prst="rect">
                            <a:avLst/>
                          </a:prstGeom>
                        </pic:spPr>
                      </pic:pic>
                    </a:graphicData>
                  </a:graphic>
                </wp:inline>
              </w:drawing>
            </w:r>
          </w:p>
        </w:tc>
      </w:tr>
    </w:tbl>
    <w:p w14:paraId="49087CC1" w14:textId="77777777" w:rsidR="005273BE" w:rsidRPr="0028112D" w:rsidRDefault="005273BE" w:rsidP="005273BE">
      <w:pPr>
        <w:autoSpaceDE w:val="0"/>
        <w:autoSpaceDN w:val="0"/>
        <w:adjustRightInd w:val="0"/>
        <w:jc w:val="both"/>
        <w:rPr>
          <w:color w:val="000000"/>
          <w:sz w:val="20"/>
          <w:szCs w:val="20"/>
        </w:rPr>
      </w:pPr>
    </w:p>
    <w:p w14:paraId="65A6C42A" w14:textId="6E625471" w:rsidR="005273BE" w:rsidRDefault="005273BE" w:rsidP="005273BE">
      <w:pPr>
        <w:tabs>
          <w:tab w:val="left" w:pos="20"/>
          <w:tab w:val="left" w:pos="360"/>
        </w:tabs>
        <w:autoSpaceDE w:val="0"/>
        <w:autoSpaceDN w:val="0"/>
        <w:adjustRightInd w:val="0"/>
        <w:jc w:val="both"/>
        <w:rPr>
          <w:color w:val="000000"/>
          <w:sz w:val="20"/>
          <w:szCs w:val="20"/>
        </w:rPr>
      </w:pPr>
      <w:r w:rsidRPr="0028112D">
        <w:rPr>
          <w:color w:val="000000"/>
          <w:sz w:val="20"/>
          <w:szCs w:val="20"/>
        </w:rPr>
        <w:t xml:space="preserve">The SFTD requirement in </w:t>
      </w:r>
      <w:r w:rsidR="00726A73">
        <w:rPr>
          <w:color w:val="000000"/>
          <w:sz w:val="20"/>
          <w:szCs w:val="20"/>
        </w:rPr>
        <w:t xml:space="preserve">the </w:t>
      </w:r>
      <w:r w:rsidRPr="0028112D">
        <w:rPr>
          <w:color w:val="000000"/>
          <w:sz w:val="20"/>
          <w:szCs w:val="20"/>
        </w:rPr>
        <w:t>current RRM spec is defined as 40Ts (1.3us) for FR1 and FR2 (inter-frequency SFTD requirement is shown as below), and the justification is: 40Ts is almost below 15% of the symbol length of 120kHz, however, with 960kHz SCS in 60GHz, the 40Ts is even longer than one symbol (120% of a symbol length), so it’s necessary to have a new FR for 60GHz with a new SFTD requirement.</w:t>
      </w:r>
    </w:p>
    <w:p w14:paraId="4D4E592D" w14:textId="77777777" w:rsidR="00726A73" w:rsidRPr="0028112D" w:rsidRDefault="00726A73" w:rsidP="005273BE">
      <w:pPr>
        <w:tabs>
          <w:tab w:val="left" w:pos="20"/>
          <w:tab w:val="left" w:pos="360"/>
        </w:tabs>
        <w:autoSpaceDE w:val="0"/>
        <w:autoSpaceDN w:val="0"/>
        <w:adjustRightInd w:val="0"/>
        <w:jc w:val="both"/>
        <w:rPr>
          <w:color w:val="000000"/>
          <w:sz w:val="20"/>
          <w:szCs w:val="20"/>
        </w:rPr>
      </w:pPr>
    </w:p>
    <w:tbl>
      <w:tblPr>
        <w:tblStyle w:val="TableGrid"/>
        <w:tblW w:w="0" w:type="auto"/>
        <w:tblInd w:w="360" w:type="dxa"/>
        <w:tblLook w:val="04A0" w:firstRow="1" w:lastRow="0" w:firstColumn="1" w:lastColumn="0" w:noHBand="0" w:noVBand="1"/>
      </w:tblPr>
      <w:tblGrid>
        <w:gridCol w:w="9271"/>
      </w:tblGrid>
      <w:tr w:rsidR="005273BE" w:rsidRPr="0028112D" w14:paraId="75406D91" w14:textId="77777777" w:rsidTr="00E44217">
        <w:tc>
          <w:tcPr>
            <w:tcW w:w="9350" w:type="dxa"/>
          </w:tcPr>
          <w:p w14:paraId="49C0671C" w14:textId="77777777" w:rsidR="005273BE" w:rsidRPr="0028112D" w:rsidRDefault="005273BE" w:rsidP="00E44217">
            <w:pPr>
              <w:tabs>
                <w:tab w:val="left" w:pos="20"/>
                <w:tab w:val="left" w:pos="360"/>
              </w:tabs>
              <w:autoSpaceDE w:val="0"/>
              <w:autoSpaceDN w:val="0"/>
              <w:adjustRightInd w:val="0"/>
              <w:jc w:val="both"/>
              <w:rPr>
                <w:color w:val="000000"/>
                <w:sz w:val="20"/>
                <w:szCs w:val="20"/>
              </w:rPr>
            </w:pPr>
            <w:r w:rsidRPr="0028112D">
              <w:rPr>
                <w:noProof/>
                <w:color w:val="000000"/>
                <w:sz w:val="20"/>
                <w:szCs w:val="20"/>
              </w:rPr>
              <w:lastRenderedPageBreak/>
              <w:drawing>
                <wp:inline distT="0" distB="0" distL="0" distR="0" wp14:anchorId="2D325EDE" wp14:editId="006E3582">
                  <wp:extent cx="5275385" cy="1702664"/>
                  <wp:effectExtent l="0" t="0" r="0" b="0"/>
                  <wp:docPr id="9" name="Picture 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Table&#10;&#10;Description automatically generated"/>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283652" cy="1705332"/>
                          </a:xfrm>
                          <a:prstGeom prst="rect">
                            <a:avLst/>
                          </a:prstGeom>
                        </pic:spPr>
                      </pic:pic>
                    </a:graphicData>
                  </a:graphic>
                </wp:inline>
              </w:drawing>
            </w:r>
          </w:p>
        </w:tc>
      </w:tr>
    </w:tbl>
    <w:p w14:paraId="43B8500F" w14:textId="77777777" w:rsidR="005273BE" w:rsidRDefault="005273BE" w:rsidP="005273BE">
      <w:pPr>
        <w:tabs>
          <w:tab w:val="left" w:pos="20"/>
          <w:tab w:val="left" w:pos="360"/>
        </w:tabs>
        <w:autoSpaceDE w:val="0"/>
        <w:autoSpaceDN w:val="0"/>
        <w:adjustRightInd w:val="0"/>
        <w:jc w:val="both"/>
        <w:rPr>
          <w:color w:val="000000"/>
          <w:sz w:val="20"/>
          <w:szCs w:val="20"/>
        </w:rPr>
      </w:pPr>
    </w:p>
    <w:p w14:paraId="10E41702" w14:textId="6C7441FC" w:rsidR="005273BE" w:rsidRDefault="005273BE" w:rsidP="005273BE">
      <w:pPr>
        <w:tabs>
          <w:tab w:val="left" w:pos="20"/>
          <w:tab w:val="left" w:pos="360"/>
        </w:tabs>
        <w:autoSpaceDE w:val="0"/>
        <w:autoSpaceDN w:val="0"/>
        <w:adjustRightInd w:val="0"/>
        <w:jc w:val="both"/>
        <w:rPr>
          <w:color w:val="000000"/>
          <w:sz w:val="20"/>
          <w:szCs w:val="20"/>
        </w:rPr>
      </w:pPr>
      <w:r w:rsidRPr="0028112D">
        <w:rPr>
          <w:color w:val="000000"/>
          <w:sz w:val="20"/>
          <w:szCs w:val="20"/>
        </w:rPr>
        <w:t xml:space="preserve">TA offset is another aspect in the timing requirement, and the 60GHz TA offset may not follow the FR2 requirement. The existing TA offset requirement is derived based on UE capability of Tx-Rx/Rx-Tx transition time, but if new 60GHz UE has different Tx-Rx/Rx-Tx transition time, the existing FR2 TA offset cannot be </w:t>
      </w:r>
      <w:r w:rsidR="007C4A4E" w:rsidRPr="0028112D">
        <w:rPr>
          <w:color w:val="000000"/>
          <w:sz w:val="20"/>
          <w:szCs w:val="20"/>
        </w:rPr>
        <w:t>applicable</w:t>
      </w:r>
      <w:r w:rsidRPr="0028112D">
        <w:rPr>
          <w:color w:val="000000"/>
          <w:sz w:val="20"/>
          <w:szCs w:val="20"/>
        </w:rPr>
        <w:t>. Thus, a new FR of 60GHz with a new TA offset requirement is more reasonable.</w:t>
      </w:r>
    </w:p>
    <w:p w14:paraId="43146312" w14:textId="77777777" w:rsidR="00726A73" w:rsidRPr="0028112D" w:rsidRDefault="00726A73" w:rsidP="005273BE">
      <w:pPr>
        <w:tabs>
          <w:tab w:val="left" w:pos="20"/>
          <w:tab w:val="left" w:pos="360"/>
        </w:tabs>
        <w:autoSpaceDE w:val="0"/>
        <w:autoSpaceDN w:val="0"/>
        <w:adjustRightInd w:val="0"/>
        <w:jc w:val="both"/>
        <w:rPr>
          <w:color w:val="000000"/>
          <w:sz w:val="20"/>
          <w:szCs w:val="20"/>
        </w:rPr>
      </w:pPr>
    </w:p>
    <w:tbl>
      <w:tblPr>
        <w:tblStyle w:val="TableGrid"/>
        <w:tblW w:w="0" w:type="auto"/>
        <w:tblInd w:w="360" w:type="dxa"/>
        <w:tblLook w:val="04A0" w:firstRow="1" w:lastRow="0" w:firstColumn="1" w:lastColumn="0" w:noHBand="0" w:noVBand="1"/>
      </w:tblPr>
      <w:tblGrid>
        <w:gridCol w:w="9271"/>
      </w:tblGrid>
      <w:tr w:rsidR="005273BE" w:rsidRPr="0028112D" w14:paraId="308DACA8" w14:textId="77777777" w:rsidTr="00E44217">
        <w:tc>
          <w:tcPr>
            <w:tcW w:w="9350" w:type="dxa"/>
          </w:tcPr>
          <w:p w14:paraId="19536D1D" w14:textId="77777777" w:rsidR="005273BE" w:rsidRPr="0028112D" w:rsidRDefault="005273BE" w:rsidP="00E44217">
            <w:pPr>
              <w:tabs>
                <w:tab w:val="left" w:pos="20"/>
                <w:tab w:val="left" w:pos="360"/>
              </w:tabs>
              <w:autoSpaceDE w:val="0"/>
              <w:autoSpaceDN w:val="0"/>
              <w:adjustRightInd w:val="0"/>
              <w:jc w:val="both"/>
              <w:rPr>
                <w:color w:val="000000"/>
                <w:sz w:val="20"/>
                <w:szCs w:val="20"/>
              </w:rPr>
            </w:pPr>
            <w:r w:rsidRPr="0028112D">
              <w:rPr>
                <w:noProof/>
                <w:color w:val="000000"/>
                <w:sz w:val="20"/>
                <w:szCs w:val="20"/>
              </w:rPr>
              <w:drawing>
                <wp:inline distT="0" distB="0" distL="0" distR="0" wp14:anchorId="1F075AF3" wp14:editId="7838E1E2">
                  <wp:extent cx="4519020" cy="2699825"/>
                  <wp:effectExtent l="0" t="0" r="2540" b="5715"/>
                  <wp:docPr id="10" name="Picture 10"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with medium confidenc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529769" cy="2706247"/>
                          </a:xfrm>
                          <a:prstGeom prst="rect">
                            <a:avLst/>
                          </a:prstGeom>
                        </pic:spPr>
                      </pic:pic>
                    </a:graphicData>
                  </a:graphic>
                </wp:inline>
              </w:drawing>
            </w:r>
          </w:p>
        </w:tc>
      </w:tr>
    </w:tbl>
    <w:p w14:paraId="46256892" w14:textId="77777777" w:rsidR="005273BE" w:rsidRPr="0028112D" w:rsidRDefault="005273BE" w:rsidP="005273BE">
      <w:pPr>
        <w:tabs>
          <w:tab w:val="left" w:pos="20"/>
          <w:tab w:val="left" w:pos="360"/>
        </w:tabs>
        <w:autoSpaceDE w:val="0"/>
        <w:autoSpaceDN w:val="0"/>
        <w:adjustRightInd w:val="0"/>
        <w:jc w:val="both"/>
        <w:rPr>
          <w:color w:val="000000"/>
          <w:sz w:val="20"/>
          <w:szCs w:val="20"/>
        </w:rPr>
      </w:pPr>
    </w:p>
    <w:p w14:paraId="24298414" w14:textId="1838D7FE" w:rsidR="005273BE" w:rsidRDefault="005273BE" w:rsidP="005273BE">
      <w:pPr>
        <w:pStyle w:val="ListParagraph"/>
        <w:numPr>
          <w:ilvl w:val="0"/>
          <w:numId w:val="14"/>
        </w:numPr>
        <w:autoSpaceDE w:val="0"/>
        <w:autoSpaceDN w:val="0"/>
        <w:adjustRightInd w:val="0"/>
        <w:jc w:val="both"/>
        <w:rPr>
          <w:b/>
          <w:bCs/>
          <w:color w:val="000000"/>
          <w:sz w:val="20"/>
          <w:szCs w:val="20"/>
        </w:rPr>
      </w:pPr>
      <w:r w:rsidRPr="00FA65D0">
        <w:rPr>
          <w:b/>
          <w:bCs/>
          <w:color w:val="000000"/>
          <w:sz w:val="20"/>
          <w:szCs w:val="20"/>
        </w:rPr>
        <w:t>Interruption requirement with aggressor or victims</w:t>
      </w:r>
    </w:p>
    <w:p w14:paraId="57C2E617" w14:textId="77777777" w:rsidR="00FA65D0" w:rsidRPr="00FA65D0" w:rsidRDefault="00FA65D0" w:rsidP="00FA65D0">
      <w:pPr>
        <w:pStyle w:val="ListParagraph"/>
        <w:autoSpaceDE w:val="0"/>
        <w:autoSpaceDN w:val="0"/>
        <w:adjustRightInd w:val="0"/>
        <w:ind w:left="360"/>
        <w:jc w:val="both"/>
        <w:rPr>
          <w:b/>
          <w:bCs/>
          <w:color w:val="000000"/>
          <w:sz w:val="20"/>
          <w:szCs w:val="20"/>
        </w:rPr>
      </w:pPr>
    </w:p>
    <w:p w14:paraId="67BCC157" w14:textId="6B19198E" w:rsidR="005273BE" w:rsidRDefault="005273BE" w:rsidP="005273BE">
      <w:pPr>
        <w:autoSpaceDE w:val="0"/>
        <w:autoSpaceDN w:val="0"/>
        <w:adjustRightInd w:val="0"/>
        <w:jc w:val="both"/>
        <w:rPr>
          <w:color w:val="000000"/>
          <w:sz w:val="20"/>
          <w:szCs w:val="20"/>
        </w:rPr>
      </w:pPr>
      <w:r w:rsidRPr="0028112D">
        <w:rPr>
          <w:color w:val="000000"/>
          <w:sz w:val="20"/>
          <w:szCs w:val="20"/>
        </w:rPr>
        <w:t xml:space="preserve">Even though some of the existing interruption requirements are designed based on </w:t>
      </w:r>
      <w:r w:rsidR="00726A73">
        <w:rPr>
          <w:color w:val="000000"/>
          <w:sz w:val="20"/>
          <w:szCs w:val="20"/>
        </w:rPr>
        <w:t xml:space="preserve">the </w:t>
      </w:r>
      <w:r w:rsidRPr="0028112D">
        <w:rPr>
          <w:color w:val="000000"/>
          <w:sz w:val="20"/>
          <w:szCs w:val="20"/>
        </w:rPr>
        <w:t xml:space="preserve">SCS of </w:t>
      </w:r>
      <w:r w:rsidR="00726A73">
        <w:rPr>
          <w:color w:val="000000"/>
          <w:sz w:val="20"/>
          <w:szCs w:val="20"/>
        </w:rPr>
        <w:t xml:space="preserve">the </w:t>
      </w:r>
      <w:r w:rsidRPr="0028112D">
        <w:rPr>
          <w:color w:val="000000"/>
          <w:sz w:val="20"/>
          <w:szCs w:val="20"/>
        </w:rPr>
        <w:t xml:space="preserve">victim CC, there are still many interruption requirements associated with FR (shown as below). The main reason </w:t>
      </w:r>
      <w:proofErr w:type="gramStart"/>
      <w:r w:rsidRPr="0028112D">
        <w:rPr>
          <w:color w:val="000000"/>
          <w:sz w:val="20"/>
          <w:szCs w:val="20"/>
        </w:rPr>
        <w:t>is:</w:t>
      </w:r>
      <w:proofErr w:type="gramEnd"/>
      <w:r w:rsidRPr="0028112D">
        <w:rPr>
          <w:color w:val="000000"/>
          <w:sz w:val="20"/>
          <w:szCs w:val="20"/>
        </w:rPr>
        <w:t xml:space="preserve"> the RF tuning time is differentiated from FR1 to FR2 and therefore the interruption from RF tuning/retuning shall be designed on per-FR basis. Similarly, </w:t>
      </w:r>
      <w:r w:rsidR="00726A73">
        <w:rPr>
          <w:color w:val="000000"/>
          <w:sz w:val="20"/>
          <w:szCs w:val="20"/>
        </w:rPr>
        <w:t xml:space="preserve">any </w:t>
      </w:r>
      <w:r w:rsidRPr="0028112D">
        <w:rPr>
          <w:color w:val="000000"/>
          <w:sz w:val="20"/>
          <w:szCs w:val="20"/>
        </w:rPr>
        <w:t xml:space="preserve">new 60GHz </w:t>
      </w:r>
      <w:r w:rsidR="00726A73">
        <w:rPr>
          <w:color w:val="000000"/>
          <w:sz w:val="20"/>
          <w:szCs w:val="20"/>
        </w:rPr>
        <w:t xml:space="preserve">design </w:t>
      </w:r>
      <w:r w:rsidRPr="0028112D">
        <w:rPr>
          <w:color w:val="000000"/>
          <w:sz w:val="20"/>
          <w:szCs w:val="20"/>
        </w:rPr>
        <w:t>would probably have shorter RF tuning/retuning time, and the existing FR2 interruption requirement cannot be applied any longer. Thus, it</w:t>
      </w:r>
      <w:r w:rsidR="00726A73">
        <w:rPr>
          <w:color w:val="000000"/>
          <w:sz w:val="20"/>
          <w:szCs w:val="20"/>
        </w:rPr>
        <w:t xml:space="preserve"> i</w:t>
      </w:r>
      <w:r w:rsidRPr="0028112D">
        <w:rPr>
          <w:color w:val="000000"/>
          <w:sz w:val="20"/>
          <w:szCs w:val="20"/>
        </w:rPr>
        <w:t xml:space="preserve">s reasonable to have a new FR of 60GHz with </w:t>
      </w:r>
      <w:r w:rsidR="00726A73">
        <w:rPr>
          <w:color w:val="000000"/>
          <w:sz w:val="20"/>
          <w:szCs w:val="20"/>
        </w:rPr>
        <w:t xml:space="preserve">a </w:t>
      </w:r>
      <w:r w:rsidRPr="0028112D">
        <w:rPr>
          <w:color w:val="000000"/>
          <w:sz w:val="20"/>
          <w:szCs w:val="20"/>
        </w:rPr>
        <w:t>new interruption requirement.</w:t>
      </w:r>
    </w:p>
    <w:p w14:paraId="3AAC1FE7" w14:textId="77777777" w:rsidR="00726A73" w:rsidRPr="0028112D" w:rsidRDefault="00726A73" w:rsidP="005273BE">
      <w:pPr>
        <w:autoSpaceDE w:val="0"/>
        <w:autoSpaceDN w:val="0"/>
        <w:adjustRightInd w:val="0"/>
        <w:jc w:val="both"/>
        <w:rPr>
          <w:color w:val="000000"/>
          <w:sz w:val="20"/>
          <w:szCs w:val="20"/>
        </w:rPr>
      </w:pPr>
    </w:p>
    <w:tbl>
      <w:tblPr>
        <w:tblStyle w:val="TableGrid"/>
        <w:tblW w:w="0" w:type="auto"/>
        <w:jc w:val="center"/>
        <w:tblLook w:val="04A0" w:firstRow="1" w:lastRow="0" w:firstColumn="1" w:lastColumn="0" w:noHBand="0" w:noVBand="1"/>
      </w:tblPr>
      <w:tblGrid>
        <w:gridCol w:w="7916"/>
      </w:tblGrid>
      <w:tr w:rsidR="005273BE" w:rsidRPr="0028112D" w14:paraId="1974953E" w14:textId="77777777" w:rsidTr="00E44217">
        <w:trPr>
          <w:trHeight w:val="2958"/>
          <w:jc w:val="center"/>
        </w:trPr>
        <w:tc>
          <w:tcPr>
            <w:tcW w:w="7900" w:type="dxa"/>
          </w:tcPr>
          <w:p w14:paraId="4F520AC9" w14:textId="77777777" w:rsidR="005273BE" w:rsidRPr="0028112D" w:rsidRDefault="005273BE" w:rsidP="00E44217">
            <w:pPr>
              <w:autoSpaceDE w:val="0"/>
              <w:autoSpaceDN w:val="0"/>
              <w:adjustRightInd w:val="0"/>
              <w:jc w:val="both"/>
              <w:rPr>
                <w:color w:val="000000"/>
                <w:sz w:val="20"/>
                <w:szCs w:val="20"/>
              </w:rPr>
            </w:pPr>
            <w:r w:rsidRPr="0028112D">
              <w:rPr>
                <w:noProof/>
                <w:color w:val="000000"/>
                <w:sz w:val="20"/>
                <w:szCs w:val="20"/>
              </w:rPr>
              <w:drawing>
                <wp:inline distT="0" distB="0" distL="0" distR="0" wp14:anchorId="393E9CFE" wp14:editId="32197E23">
                  <wp:extent cx="4888929" cy="1903339"/>
                  <wp:effectExtent l="0" t="0" r="635" b="1905"/>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Table&#10;&#10;Description automatically generated"/>
                          <pic:cNvPicPr/>
                        </pic:nvPicPr>
                        <pic:blipFill>
                          <a:blip r:embed="rId16" cstate="print">
                            <a:extLst>
                              <a:ext uri="{28A0092B-C50C-407E-A947-70E740481C1C}">
                                <a14:useLocalDpi xmlns:a14="http://schemas.microsoft.com/office/drawing/2010/main" val="0"/>
                              </a:ext>
                            </a:extLst>
                          </a:blip>
                          <a:stretch>
                            <a:fillRect/>
                          </a:stretch>
                        </pic:blipFill>
                        <pic:spPr>
                          <a:xfrm>
                            <a:off x="0" y="0"/>
                            <a:ext cx="4927710" cy="1918437"/>
                          </a:xfrm>
                          <a:prstGeom prst="rect">
                            <a:avLst/>
                          </a:prstGeom>
                        </pic:spPr>
                      </pic:pic>
                    </a:graphicData>
                  </a:graphic>
                </wp:inline>
              </w:drawing>
            </w:r>
          </w:p>
        </w:tc>
      </w:tr>
    </w:tbl>
    <w:p w14:paraId="288E254B" w14:textId="77777777" w:rsidR="005273BE" w:rsidRPr="0028112D" w:rsidRDefault="005273BE" w:rsidP="005273BE">
      <w:pPr>
        <w:autoSpaceDE w:val="0"/>
        <w:autoSpaceDN w:val="0"/>
        <w:adjustRightInd w:val="0"/>
        <w:jc w:val="both"/>
        <w:rPr>
          <w:color w:val="000000"/>
          <w:sz w:val="20"/>
          <w:szCs w:val="20"/>
        </w:rPr>
      </w:pPr>
    </w:p>
    <w:p w14:paraId="703989CE" w14:textId="6B01F0BF" w:rsidR="005273BE" w:rsidRDefault="005273BE" w:rsidP="005273BE">
      <w:pPr>
        <w:pStyle w:val="ListParagraph"/>
        <w:numPr>
          <w:ilvl w:val="0"/>
          <w:numId w:val="14"/>
        </w:numPr>
        <w:autoSpaceDE w:val="0"/>
        <w:autoSpaceDN w:val="0"/>
        <w:adjustRightInd w:val="0"/>
        <w:jc w:val="both"/>
        <w:rPr>
          <w:b/>
          <w:bCs/>
          <w:color w:val="000000"/>
          <w:sz w:val="20"/>
          <w:szCs w:val="20"/>
        </w:rPr>
      </w:pPr>
      <w:r w:rsidRPr="00FA65D0">
        <w:rPr>
          <w:b/>
          <w:bCs/>
          <w:color w:val="000000"/>
          <w:sz w:val="20"/>
          <w:szCs w:val="20"/>
        </w:rPr>
        <w:t>Scheduling restriction</w:t>
      </w:r>
    </w:p>
    <w:p w14:paraId="447DBAE9" w14:textId="77777777" w:rsidR="00FA65D0" w:rsidRPr="00FA65D0" w:rsidRDefault="00FA65D0" w:rsidP="00FA65D0">
      <w:pPr>
        <w:pStyle w:val="ListParagraph"/>
        <w:autoSpaceDE w:val="0"/>
        <w:autoSpaceDN w:val="0"/>
        <w:adjustRightInd w:val="0"/>
        <w:ind w:left="360"/>
        <w:jc w:val="both"/>
        <w:rPr>
          <w:b/>
          <w:bCs/>
          <w:color w:val="000000"/>
          <w:sz w:val="20"/>
          <w:szCs w:val="20"/>
        </w:rPr>
      </w:pPr>
    </w:p>
    <w:p w14:paraId="6A68A2B0" w14:textId="3CF64244" w:rsidR="005273BE" w:rsidRDefault="005273BE" w:rsidP="005273BE">
      <w:pPr>
        <w:autoSpaceDE w:val="0"/>
        <w:autoSpaceDN w:val="0"/>
        <w:adjustRightInd w:val="0"/>
        <w:jc w:val="both"/>
        <w:rPr>
          <w:color w:val="000000"/>
          <w:sz w:val="20"/>
          <w:szCs w:val="20"/>
        </w:rPr>
      </w:pPr>
      <w:r w:rsidRPr="0028112D">
        <w:rPr>
          <w:color w:val="000000"/>
          <w:sz w:val="20"/>
          <w:szCs w:val="20"/>
        </w:rPr>
        <w:t>One example of existing scheduling restriction for mobility measurement is shown as below</w:t>
      </w:r>
      <w:r w:rsidR="00726A73">
        <w:rPr>
          <w:color w:val="000000"/>
          <w:sz w:val="20"/>
          <w:szCs w:val="20"/>
        </w:rPr>
        <w:t>:</w:t>
      </w:r>
    </w:p>
    <w:p w14:paraId="2B49956A" w14:textId="77777777" w:rsidR="00726A73" w:rsidRPr="0028112D" w:rsidRDefault="00726A73" w:rsidP="005273BE">
      <w:pPr>
        <w:autoSpaceDE w:val="0"/>
        <w:autoSpaceDN w:val="0"/>
        <w:adjustRightInd w:val="0"/>
        <w:jc w:val="both"/>
        <w:rPr>
          <w:color w:val="000000"/>
          <w:sz w:val="20"/>
          <w:szCs w:val="20"/>
        </w:rPr>
      </w:pPr>
    </w:p>
    <w:tbl>
      <w:tblPr>
        <w:tblStyle w:val="TableGrid"/>
        <w:tblW w:w="0" w:type="auto"/>
        <w:tblLook w:val="04A0" w:firstRow="1" w:lastRow="0" w:firstColumn="1" w:lastColumn="0" w:noHBand="0" w:noVBand="1"/>
      </w:tblPr>
      <w:tblGrid>
        <w:gridCol w:w="9350"/>
      </w:tblGrid>
      <w:tr w:rsidR="005273BE" w:rsidRPr="0028112D" w14:paraId="779E2890" w14:textId="77777777" w:rsidTr="00E44217">
        <w:tc>
          <w:tcPr>
            <w:tcW w:w="9350" w:type="dxa"/>
          </w:tcPr>
          <w:p w14:paraId="4B3627B5" w14:textId="77777777" w:rsidR="005273BE" w:rsidRPr="0028112D" w:rsidRDefault="005273BE" w:rsidP="00E44217">
            <w:pPr>
              <w:autoSpaceDE w:val="0"/>
              <w:autoSpaceDN w:val="0"/>
              <w:adjustRightInd w:val="0"/>
              <w:jc w:val="both"/>
              <w:rPr>
                <w:color w:val="000000"/>
                <w:sz w:val="20"/>
                <w:szCs w:val="20"/>
              </w:rPr>
            </w:pPr>
            <w:r w:rsidRPr="0028112D">
              <w:rPr>
                <w:noProof/>
                <w:color w:val="000000"/>
                <w:sz w:val="20"/>
                <w:szCs w:val="20"/>
              </w:rPr>
              <w:drawing>
                <wp:inline distT="0" distB="0" distL="0" distR="0" wp14:anchorId="1708D198" wp14:editId="485D75A2">
                  <wp:extent cx="5753686" cy="1199914"/>
                  <wp:effectExtent l="0" t="0" r="0"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ext&#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763433" cy="1201947"/>
                          </a:xfrm>
                          <a:prstGeom prst="rect">
                            <a:avLst/>
                          </a:prstGeom>
                        </pic:spPr>
                      </pic:pic>
                    </a:graphicData>
                  </a:graphic>
                </wp:inline>
              </w:drawing>
            </w:r>
          </w:p>
        </w:tc>
      </w:tr>
    </w:tbl>
    <w:p w14:paraId="0987060A" w14:textId="77777777" w:rsidR="005273BE" w:rsidRPr="0028112D" w:rsidRDefault="005273BE" w:rsidP="005273BE">
      <w:pPr>
        <w:autoSpaceDE w:val="0"/>
        <w:autoSpaceDN w:val="0"/>
        <w:adjustRightInd w:val="0"/>
        <w:jc w:val="both"/>
        <w:rPr>
          <w:color w:val="000000"/>
          <w:sz w:val="20"/>
          <w:szCs w:val="20"/>
        </w:rPr>
      </w:pPr>
    </w:p>
    <w:p w14:paraId="1BFF6C80" w14:textId="315F2658" w:rsidR="005273BE" w:rsidRPr="0028112D" w:rsidRDefault="005273BE" w:rsidP="005273BE">
      <w:pPr>
        <w:autoSpaceDE w:val="0"/>
        <w:autoSpaceDN w:val="0"/>
        <w:adjustRightInd w:val="0"/>
        <w:jc w:val="both"/>
        <w:rPr>
          <w:color w:val="000000"/>
          <w:sz w:val="20"/>
          <w:szCs w:val="20"/>
        </w:rPr>
      </w:pPr>
      <w:r w:rsidRPr="0028112D">
        <w:rPr>
          <w:color w:val="000000"/>
          <w:sz w:val="20"/>
          <w:szCs w:val="20"/>
        </w:rPr>
        <w:t xml:space="preserve">The one symbol before and after SSB is based on the assumption of cell phase synchronization error of 3us. However, on </w:t>
      </w:r>
      <w:r w:rsidR="00726A73">
        <w:rPr>
          <w:color w:val="000000"/>
          <w:sz w:val="20"/>
          <w:szCs w:val="20"/>
        </w:rPr>
        <w:t xml:space="preserve">a </w:t>
      </w:r>
      <w:r w:rsidRPr="0028112D">
        <w:rPr>
          <w:color w:val="000000"/>
          <w:sz w:val="20"/>
          <w:szCs w:val="20"/>
        </w:rPr>
        <w:t xml:space="preserve">60GHz carrier, the symbol length with 960kHz is as low as 1.09us, and therefore the existing one symbols before and after SSB for FR2 scheduling restriction would be </w:t>
      </w:r>
      <w:r>
        <w:rPr>
          <w:color w:val="000000"/>
          <w:sz w:val="20"/>
          <w:szCs w:val="20"/>
        </w:rPr>
        <w:t>insufficient</w:t>
      </w:r>
      <w:r w:rsidRPr="0028112D">
        <w:rPr>
          <w:color w:val="000000"/>
          <w:sz w:val="20"/>
          <w:szCs w:val="20"/>
        </w:rPr>
        <w:t>. Thus, using a new FR of 60GHz with a new cell phase synchronization requirement or with a new scheduling restriction would be the most reasonable solution.</w:t>
      </w:r>
    </w:p>
    <w:p w14:paraId="30F22D30" w14:textId="77777777" w:rsidR="005273BE" w:rsidRPr="0028112D" w:rsidRDefault="005273BE" w:rsidP="005273BE">
      <w:pPr>
        <w:jc w:val="both"/>
        <w:rPr>
          <w:sz w:val="20"/>
          <w:szCs w:val="20"/>
        </w:rPr>
      </w:pPr>
    </w:p>
    <w:p w14:paraId="6FA0BB7A" w14:textId="6E865BB4" w:rsidR="00FA65D0" w:rsidRDefault="00FA65D0" w:rsidP="00FA65D0">
      <w:pPr>
        <w:pStyle w:val="Heading2"/>
      </w:pPr>
      <w:r>
        <w:t xml:space="preserve">2.2 </w:t>
      </w:r>
      <w:proofErr w:type="spellStart"/>
      <w:r>
        <w:t>Demod</w:t>
      </w:r>
      <w:proofErr w:type="spellEnd"/>
      <w:r>
        <w:t xml:space="preserve"> requirements in RAN4</w:t>
      </w:r>
    </w:p>
    <w:p w14:paraId="6B0DA79F" w14:textId="1FED5885" w:rsidR="00FA65D0" w:rsidRPr="00FA65D0" w:rsidRDefault="00FA65D0" w:rsidP="00FA65D0">
      <w:pPr>
        <w:rPr>
          <w:color w:val="000000"/>
          <w:sz w:val="20"/>
          <w:szCs w:val="20"/>
        </w:rPr>
      </w:pPr>
      <w:r w:rsidRPr="00FA65D0">
        <w:rPr>
          <w:color w:val="000000"/>
          <w:sz w:val="20"/>
          <w:szCs w:val="20"/>
        </w:rPr>
        <w:t>Currently RAN1 is discussing potential enhancements to PT-RS and DM-RS for 60GHz operation. In case such new DM-RS and PT-RS</w:t>
      </w:r>
      <w:r w:rsidR="00726A73">
        <w:rPr>
          <w:color w:val="000000"/>
          <w:sz w:val="20"/>
          <w:szCs w:val="20"/>
        </w:rPr>
        <w:t xml:space="preserve"> are specified</w:t>
      </w:r>
      <w:r w:rsidR="00C34DDA">
        <w:rPr>
          <w:color w:val="000000"/>
          <w:sz w:val="20"/>
          <w:szCs w:val="20"/>
        </w:rPr>
        <w:t>,</w:t>
      </w:r>
      <w:r w:rsidRPr="00FA65D0">
        <w:rPr>
          <w:color w:val="000000"/>
          <w:sz w:val="20"/>
          <w:szCs w:val="20"/>
        </w:rPr>
        <w:t xml:space="preserve"> the existing demodulation and CSI requirements for FR2 would not be applicable and a new set of requirements would need to be defined. Also, currently the radiated requirements apply to all FR2 bands and are band agnostic. Currently it is FFS if the existing FR2 </w:t>
      </w:r>
      <w:proofErr w:type="spellStart"/>
      <w:r w:rsidRPr="00FA65D0">
        <w:rPr>
          <w:color w:val="000000"/>
          <w:sz w:val="20"/>
          <w:szCs w:val="20"/>
        </w:rPr>
        <w:t>demod</w:t>
      </w:r>
      <w:proofErr w:type="spellEnd"/>
      <w:r w:rsidRPr="00FA65D0">
        <w:rPr>
          <w:color w:val="000000"/>
          <w:sz w:val="20"/>
          <w:szCs w:val="20"/>
        </w:rPr>
        <w:t xml:space="preserve"> requirements are applicable to band n262 / 47GHz. Even if DM-RS and PT-RS remained unchanged for 60GHz operation, it would need further study and discussion in RAN4 whether existing demodulation and CSI radiated test requirements are applicable to </w:t>
      </w:r>
      <w:r w:rsidR="00726A73">
        <w:rPr>
          <w:color w:val="000000"/>
          <w:sz w:val="20"/>
          <w:szCs w:val="20"/>
        </w:rPr>
        <w:t xml:space="preserve">the </w:t>
      </w:r>
      <w:r w:rsidRPr="00FA65D0">
        <w:rPr>
          <w:color w:val="000000"/>
          <w:sz w:val="20"/>
          <w:szCs w:val="20"/>
        </w:rPr>
        <w:t>new bands. From demodulation and CSI reporting requirements perspective</w:t>
      </w:r>
      <w:r w:rsidR="00726A73">
        <w:rPr>
          <w:color w:val="000000"/>
          <w:sz w:val="20"/>
          <w:szCs w:val="20"/>
        </w:rPr>
        <w:t>,</w:t>
      </w:r>
      <w:r w:rsidRPr="00FA65D0">
        <w:rPr>
          <w:color w:val="000000"/>
          <w:sz w:val="20"/>
          <w:szCs w:val="20"/>
        </w:rPr>
        <w:t xml:space="preserve"> it is not possible to conclude if extending FR2 to include 60GHz band or defining a new frequency range is a better choice at this stage.</w:t>
      </w:r>
    </w:p>
    <w:p w14:paraId="32C07888" w14:textId="4EA0B07A" w:rsidR="005273BE" w:rsidRDefault="005273BE" w:rsidP="005273BE">
      <w:pPr>
        <w:rPr>
          <w:lang w:eastAsia="en-US"/>
        </w:rPr>
      </w:pPr>
    </w:p>
    <w:p w14:paraId="44A20862" w14:textId="3E3BB1D4" w:rsidR="00C34DDA" w:rsidRDefault="00C34DDA" w:rsidP="00C34DDA">
      <w:pPr>
        <w:pStyle w:val="Heading2"/>
      </w:pPr>
      <w:r>
        <w:t>2.3 UE RF requirements in RAN4</w:t>
      </w:r>
    </w:p>
    <w:p w14:paraId="4D96DACE" w14:textId="597021BB" w:rsidR="00C34DDA" w:rsidRDefault="00C34DDA" w:rsidP="00C34DDA">
      <w:pPr>
        <w:rPr>
          <w:color w:val="000000"/>
          <w:sz w:val="20"/>
          <w:szCs w:val="20"/>
        </w:rPr>
      </w:pPr>
      <w:r w:rsidRPr="00C34DDA">
        <w:rPr>
          <w:color w:val="000000"/>
          <w:sz w:val="20"/>
          <w:szCs w:val="20"/>
        </w:rPr>
        <w:t xml:space="preserve">For </w:t>
      </w:r>
      <w:r w:rsidR="00726A73">
        <w:rPr>
          <w:color w:val="000000"/>
          <w:sz w:val="20"/>
          <w:szCs w:val="20"/>
        </w:rPr>
        <w:t>the</w:t>
      </w:r>
      <w:r w:rsidR="00726A73" w:rsidRPr="00C34DDA">
        <w:rPr>
          <w:color w:val="000000"/>
          <w:sz w:val="20"/>
          <w:szCs w:val="20"/>
        </w:rPr>
        <w:t xml:space="preserve"> </w:t>
      </w:r>
      <w:r w:rsidRPr="00C34DDA">
        <w:rPr>
          <w:color w:val="000000"/>
          <w:sz w:val="20"/>
          <w:szCs w:val="20"/>
        </w:rPr>
        <w:t>frequen</w:t>
      </w:r>
      <w:r w:rsidR="00726A73">
        <w:rPr>
          <w:color w:val="000000"/>
          <w:sz w:val="20"/>
          <w:szCs w:val="20"/>
        </w:rPr>
        <w:t>cy</w:t>
      </w:r>
      <w:r w:rsidRPr="00C34DDA">
        <w:rPr>
          <w:color w:val="000000"/>
          <w:sz w:val="20"/>
          <w:szCs w:val="20"/>
        </w:rPr>
        <w:t xml:space="preserve"> band from 52.6GHz to 71GHz, as the frequency goes higher, the RF components’ performance such PA, LO, filter </w:t>
      </w:r>
      <w:proofErr w:type="gramStart"/>
      <w:r w:rsidRPr="00C34DDA">
        <w:rPr>
          <w:color w:val="000000"/>
          <w:sz w:val="20"/>
          <w:szCs w:val="20"/>
        </w:rPr>
        <w:t>are</w:t>
      </w:r>
      <w:proofErr w:type="gramEnd"/>
      <w:r w:rsidRPr="00C34DDA">
        <w:rPr>
          <w:color w:val="000000"/>
          <w:sz w:val="20"/>
          <w:szCs w:val="20"/>
        </w:rPr>
        <w:t xml:space="preserve"> not expected to be as good as for FR2. Also, the coexistence scenarios with other systems will be different and potential</w:t>
      </w:r>
      <w:r w:rsidR="00726A73">
        <w:rPr>
          <w:color w:val="000000"/>
          <w:sz w:val="20"/>
          <w:szCs w:val="20"/>
        </w:rPr>
        <w:t>ly</w:t>
      </w:r>
      <w:r w:rsidRPr="00C34DDA">
        <w:rPr>
          <w:color w:val="000000"/>
          <w:sz w:val="20"/>
          <w:szCs w:val="20"/>
        </w:rPr>
        <w:t xml:space="preserve"> lead to different ACLR/ACS requirements. As a result, the RF requirements such as MOP, ACLR/SEM, ACS/blocking, etc. could be different. Depending on the gap with those FR2 requirements, which will require more discussions in RAN4, it seems reasonable to defer the decision on extending FR2 to cover this band or creating a new FR.</w:t>
      </w:r>
    </w:p>
    <w:p w14:paraId="5043CD05" w14:textId="78B81BD7" w:rsidR="002D56F3" w:rsidRDefault="002D56F3" w:rsidP="00C34DDA">
      <w:pPr>
        <w:rPr>
          <w:color w:val="000000"/>
          <w:sz w:val="20"/>
          <w:szCs w:val="20"/>
        </w:rPr>
      </w:pPr>
    </w:p>
    <w:p w14:paraId="09AB7AF3" w14:textId="3EEB44E3" w:rsidR="002D56F3" w:rsidRDefault="002D56F3" w:rsidP="002D56F3">
      <w:pPr>
        <w:rPr>
          <w:color w:val="000000"/>
          <w:sz w:val="20"/>
          <w:szCs w:val="20"/>
        </w:rPr>
      </w:pPr>
      <w:r>
        <w:rPr>
          <w:color w:val="000000"/>
          <w:sz w:val="20"/>
          <w:szCs w:val="20"/>
        </w:rPr>
        <w:t xml:space="preserve">From the viewpoint of the specification impact, it bears mentioning that there are separate specifications for FR1 and FR2 frequency ranges, TS 38.101-1 and TS 38.101-2, respectively. There is also TS 38.101-3 that captures further FR1 and FR2 inter-working operation. </w:t>
      </w:r>
      <w:r w:rsidRPr="00B211C1">
        <w:rPr>
          <w:color w:val="000000"/>
          <w:sz w:val="20"/>
          <w:szCs w:val="20"/>
        </w:rPr>
        <w:t xml:space="preserve">Leveraging FR2 will allow 3GPP to re-use existing specifications, such as TS 38.101-2 and TS 38.101-3. Introduction of a new frequency range </w:t>
      </w:r>
      <w:r>
        <w:rPr>
          <w:color w:val="000000"/>
          <w:sz w:val="20"/>
          <w:szCs w:val="20"/>
        </w:rPr>
        <w:t>might</w:t>
      </w:r>
      <w:r w:rsidRPr="00B211C1">
        <w:rPr>
          <w:color w:val="000000"/>
          <w:sz w:val="20"/>
          <w:szCs w:val="20"/>
        </w:rPr>
        <w:t xml:space="preserve"> instantiate at least one new specification, e.g. TS 38.101-x, in additional to which another specification might be needed to cover band combinations between a new frequency range and existing ranges. In fact, </w:t>
      </w:r>
      <w:r>
        <w:rPr>
          <w:color w:val="000000"/>
          <w:sz w:val="20"/>
          <w:szCs w:val="20"/>
        </w:rPr>
        <w:t>introduction of a new frequency range will trigger further discussions on</w:t>
      </w:r>
      <w:r w:rsidRPr="00B211C1">
        <w:rPr>
          <w:color w:val="000000"/>
          <w:sz w:val="20"/>
          <w:szCs w:val="20"/>
        </w:rPr>
        <w:t xml:space="preserve"> how to handle </w:t>
      </w:r>
      <w:r>
        <w:rPr>
          <w:color w:val="000000"/>
          <w:sz w:val="20"/>
          <w:szCs w:val="20"/>
        </w:rPr>
        <w:t xml:space="preserve">band combinations and </w:t>
      </w:r>
      <w:r w:rsidRPr="00B211C1">
        <w:rPr>
          <w:color w:val="000000"/>
          <w:sz w:val="20"/>
          <w:szCs w:val="20"/>
        </w:rPr>
        <w:t>potential permutations between FR1/FR2/FR3.</w:t>
      </w:r>
    </w:p>
    <w:p w14:paraId="4A1102F6" w14:textId="77777777" w:rsidR="002D56F3" w:rsidRDefault="002D56F3" w:rsidP="00C34DDA">
      <w:pPr>
        <w:rPr>
          <w:color w:val="000000"/>
          <w:sz w:val="20"/>
          <w:szCs w:val="20"/>
        </w:rPr>
      </w:pPr>
    </w:p>
    <w:p w14:paraId="059F202D" w14:textId="1805DADD" w:rsidR="00C34DDA" w:rsidRDefault="00C34DDA" w:rsidP="005273BE">
      <w:pPr>
        <w:rPr>
          <w:lang w:eastAsia="en-US"/>
        </w:rPr>
      </w:pPr>
    </w:p>
    <w:p w14:paraId="2B7F81B7" w14:textId="444D6C15" w:rsidR="007059D9" w:rsidRDefault="00BD3469" w:rsidP="007059D9">
      <w:pPr>
        <w:rPr>
          <w:b/>
          <w:bCs/>
          <w:color w:val="000000"/>
          <w:sz w:val="20"/>
          <w:szCs w:val="20"/>
        </w:rPr>
      </w:pPr>
      <w:r w:rsidRPr="00BD3469">
        <w:rPr>
          <w:b/>
          <w:bCs/>
          <w:color w:val="000000"/>
          <w:sz w:val="20"/>
          <w:szCs w:val="20"/>
        </w:rPr>
        <w:t>Observation 1: At lease for the following FR2 features and requirements, it is not straightforward to reuse them for the frequency range from 52.6GHz to 71GHz</w:t>
      </w:r>
    </w:p>
    <w:p w14:paraId="69384BA6" w14:textId="4BED07CF" w:rsidR="008D7FC7" w:rsidRDefault="008D7FC7" w:rsidP="008D7FC7">
      <w:pPr>
        <w:pStyle w:val="ListParagraph"/>
        <w:numPr>
          <w:ilvl w:val="1"/>
          <w:numId w:val="14"/>
        </w:numPr>
        <w:rPr>
          <w:b/>
          <w:bCs/>
          <w:color w:val="000000"/>
          <w:sz w:val="20"/>
          <w:szCs w:val="20"/>
        </w:rPr>
      </w:pPr>
      <w:r>
        <w:rPr>
          <w:b/>
          <w:bCs/>
          <w:color w:val="000000"/>
          <w:sz w:val="20"/>
          <w:szCs w:val="20"/>
        </w:rPr>
        <w:t>RRM:</w:t>
      </w:r>
    </w:p>
    <w:p w14:paraId="5F516E15" w14:textId="40E032E4" w:rsidR="008D7FC7" w:rsidRDefault="008D7FC7" w:rsidP="008D7FC7">
      <w:pPr>
        <w:pStyle w:val="ListParagraph"/>
        <w:numPr>
          <w:ilvl w:val="2"/>
          <w:numId w:val="14"/>
        </w:numPr>
        <w:rPr>
          <w:b/>
          <w:bCs/>
          <w:color w:val="000000"/>
          <w:sz w:val="20"/>
          <w:szCs w:val="20"/>
        </w:rPr>
      </w:pPr>
      <w:r>
        <w:rPr>
          <w:b/>
          <w:bCs/>
          <w:color w:val="000000"/>
          <w:sz w:val="20"/>
          <w:szCs w:val="20"/>
        </w:rPr>
        <w:t>Measurement gap</w:t>
      </w:r>
    </w:p>
    <w:p w14:paraId="5DBDFC2A" w14:textId="77777777"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Beam sweeping based measurement delay requirements</w:t>
      </w:r>
    </w:p>
    <w:p w14:paraId="740D3A34" w14:textId="54F12E07" w:rsidR="008D7FC7" w:rsidRDefault="008D7FC7" w:rsidP="008D7FC7">
      <w:pPr>
        <w:pStyle w:val="ListParagraph"/>
        <w:numPr>
          <w:ilvl w:val="2"/>
          <w:numId w:val="14"/>
        </w:numPr>
        <w:rPr>
          <w:b/>
          <w:bCs/>
          <w:color w:val="000000"/>
          <w:sz w:val="20"/>
          <w:szCs w:val="20"/>
        </w:rPr>
      </w:pPr>
      <w:r>
        <w:rPr>
          <w:b/>
          <w:bCs/>
          <w:color w:val="000000"/>
          <w:sz w:val="20"/>
          <w:szCs w:val="20"/>
        </w:rPr>
        <w:t>Accuracy requirements</w:t>
      </w:r>
    </w:p>
    <w:p w14:paraId="5CFDA9E9" w14:textId="77777777"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 xml:space="preserve">Timing requirement </w:t>
      </w:r>
    </w:p>
    <w:p w14:paraId="77C11894" w14:textId="77777777"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Interruption requirement with aggressor or victims</w:t>
      </w:r>
    </w:p>
    <w:p w14:paraId="437FB7BB" w14:textId="625256CC" w:rsidR="008D7FC7" w:rsidRDefault="008D7FC7" w:rsidP="008D7FC7">
      <w:pPr>
        <w:pStyle w:val="ListParagraph"/>
        <w:numPr>
          <w:ilvl w:val="1"/>
          <w:numId w:val="14"/>
        </w:numPr>
        <w:rPr>
          <w:b/>
          <w:bCs/>
          <w:color w:val="000000"/>
          <w:sz w:val="20"/>
          <w:szCs w:val="20"/>
        </w:rPr>
      </w:pPr>
      <w:proofErr w:type="spellStart"/>
      <w:r>
        <w:rPr>
          <w:b/>
          <w:bCs/>
          <w:color w:val="000000"/>
          <w:sz w:val="20"/>
          <w:szCs w:val="20"/>
        </w:rPr>
        <w:t>Demod</w:t>
      </w:r>
      <w:proofErr w:type="spellEnd"/>
      <w:r>
        <w:rPr>
          <w:b/>
          <w:bCs/>
          <w:color w:val="000000"/>
          <w:sz w:val="20"/>
          <w:szCs w:val="20"/>
        </w:rPr>
        <w:t>:</w:t>
      </w:r>
    </w:p>
    <w:p w14:paraId="0BD8C108" w14:textId="5F584864" w:rsidR="008D7FC7" w:rsidRDefault="008D7FC7" w:rsidP="008D7FC7">
      <w:pPr>
        <w:pStyle w:val="ListParagraph"/>
        <w:numPr>
          <w:ilvl w:val="2"/>
          <w:numId w:val="14"/>
        </w:numPr>
        <w:rPr>
          <w:b/>
          <w:bCs/>
          <w:color w:val="000000"/>
          <w:sz w:val="20"/>
          <w:szCs w:val="20"/>
        </w:rPr>
      </w:pPr>
      <w:r>
        <w:rPr>
          <w:b/>
          <w:bCs/>
          <w:color w:val="000000"/>
          <w:sz w:val="20"/>
          <w:szCs w:val="20"/>
        </w:rPr>
        <w:t xml:space="preserve">Existing </w:t>
      </w:r>
      <w:proofErr w:type="spellStart"/>
      <w:r>
        <w:rPr>
          <w:b/>
          <w:bCs/>
          <w:color w:val="000000"/>
          <w:sz w:val="20"/>
          <w:szCs w:val="20"/>
        </w:rPr>
        <w:t>demod</w:t>
      </w:r>
      <w:proofErr w:type="spellEnd"/>
      <w:r>
        <w:rPr>
          <w:b/>
          <w:bCs/>
          <w:color w:val="000000"/>
          <w:sz w:val="20"/>
          <w:szCs w:val="20"/>
        </w:rPr>
        <w:t xml:space="preserve"> and CSI requirements due to </w:t>
      </w:r>
      <w:r w:rsidRPr="008D7FC7">
        <w:rPr>
          <w:b/>
          <w:bCs/>
          <w:color w:val="000000"/>
          <w:sz w:val="20"/>
          <w:szCs w:val="20"/>
        </w:rPr>
        <w:t>potential enhancements to PT-RS and DM-RS for 60GHz operation</w:t>
      </w:r>
    </w:p>
    <w:p w14:paraId="58DDFBC5" w14:textId="0F081B13" w:rsidR="008D7FC7" w:rsidRDefault="008D7FC7" w:rsidP="008D7FC7">
      <w:pPr>
        <w:pStyle w:val="ListParagraph"/>
        <w:numPr>
          <w:ilvl w:val="2"/>
          <w:numId w:val="14"/>
        </w:numPr>
        <w:rPr>
          <w:b/>
          <w:bCs/>
          <w:color w:val="000000"/>
          <w:sz w:val="20"/>
          <w:szCs w:val="20"/>
        </w:rPr>
      </w:pPr>
      <w:r>
        <w:rPr>
          <w:b/>
          <w:bCs/>
          <w:color w:val="000000"/>
          <w:sz w:val="20"/>
          <w:szCs w:val="20"/>
        </w:rPr>
        <w:t xml:space="preserve">Based on the ongoing discussion about the applicability of existing </w:t>
      </w:r>
      <w:r w:rsidRPr="008D7FC7">
        <w:rPr>
          <w:b/>
          <w:bCs/>
          <w:color w:val="000000"/>
          <w:sz w:val="20"/>
          <w:szCs w:val="20"/>
        </w:rPr>
        <w:t xml:space="preserve">FR2 </w:t>
      </w:r>
      <w:proofErr w:type="spellStart"/>
      <w:r w:rsidRPr="008D7FC7">
        <w:rPr>
          <w:b/>
          <w:bCs/>
          <w:color w:val="000000"/>
          <w:sz w:val="20"/>
          <w:szCs w:val="20"/>
        </w:rPr>
        <w:t>demod</w:t>
      </w:r>
      <w:proofErr w:type="spellEnd"/>
      <w:r w:rsidRPr="008D7FC7">
        <w:rPr>
          <w:b/>
          <w:bCs/>
          <w:color w:val="000000"/>
          <w:sz w:val="20"/>
          <w:szCs w:val="20"/>
        </w:rPr>
        <w:t xml:space="preserve"> requirements to band n262 / 47GHz</w:t>
      </w:r>
      <w:r>
        <w:rPr>
          <w:b/>
          <w:bCs/>
          <w:color w:val="000000"/>
          <w:sz w:val="20"/>
          <w:szCs w:val="20"/>
        </w:rPr>
        <w:t xml:space="preserve">, similar approach should be done for 60GHz. </w:t>
      </w:r>
    </w:p>
    <w:p w14:paraId="73D9E37B" w14:textId="77777777" w:rsidR="008D7FC7" w:rsidRDefault="008D7FC7" w:rsidP="008D7FC7">
      <w:pPr>
        <w:pStyle w:val="ListParagraph"/>
        <w:numPr>
          <w:ilvl w:val="1"/>
          <w:numId w:val="14"/>
        </w:numPr>
        <w:rPr>
          <w:b/>
          <w:bCs/>
          <w:color w:val="000000"/>
          <w:sz w:val="20"/>
          <w:szCs w:val="20"/>
        </w:rPr>
      </w:pPr>
      <w:r>
        <w:rPr>
          <w:b/>
          <w:bCs/>
          <w:color w:val="000000"/>
          <w:sz w:val="20"/>
          <w:szCs w:val="20"/>
        </w:rPr>
        <w:lastRenderedPageBreak/>
        <w:t>UE RF:</w:t>
      </w:r>
    </w:p>
    <w:p w14:paraId="45035E9A" w14:textId="13FACF32"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 xml:space="preserve">RF components’ performance such PA, LO, filter </w:t>
      </w:r>
      <w:proofErr w:type="gramStart"/>
      <w:r w:rsidRPr="008D7FC7">
        <w:rPr>
          <w:b/>
          <w:bCs/>
          <w:color w:val="000000"/>
          <w:sz w:val="20"/>
          <w:szCs w:val="20"/>
        </w:rPr>
        <w:t>are</w:t>
      </w:r>
      <w:proofErr w:type="gramEnd"/>
      <w:r w:rsidRPr="008D7FC7">
        <w:rPr>
          <w:b/>
          <w:bCs/>
          <w:color w:val="000000"/>
          <w:sz w:val="20"/>
          <w:szCs w:val="20"/>
        </w:rPr>
        <w:t xml:space="preserve"> not expected to be as good as for FR2</w:t>
      </w:r>
      <w:r>
        <w:rPr>
          <w:b/>
          <w:bCs/>
          <w:color w:val="000000"/>
          <w:sz w:val="20"/>
          <w:szCs w:val="20"/>
        </w:rPr>
        <w:t xml:space="preserve">. The related impacts should be further discussed </w:t>
      </w:r>
    </w:p>
    <w:p w14:paraId="34C99636" w14:textId="77777777" w:rsidR="008E7986" w:rsidRDefault="008E7986" w:rsidP="008E7986">
      <w:pPr>
        <w:pStyle w:val="Heading1"/>
      </w:pPr>
      <w:r>
        <w:t>3</w:t>
      </w:r>
      <w:r>
        <w:tab/>
        <w:t>Conclusions</w:t>
      </w:r>
    </w:p>
    <w:p w14:paraId="6F3027FC" w14:textId="5132BB2E" w:rsidR="00300BA9" w:rsidRDefault="00B61EEA" w:rsidP="00300BA9">
      <w:pPr>
        <w:rPr>
          <w:sz w:val="20"/>
          <w:szCs w:val="20"/>
        </w:rPr>
      </w:pPr>
      <w:r w:rsidRPr="00384F83">
        <w:rPr>
          <w:sz w:val="20"/>
          <w:szCs w:val="20"/>
        </w:rPr>
        <w:t>In this contribution</w:t>
      </w:r>
      <w:r>
        <w:rPr>
          <w:sz w:val="20"/>
          <w:szCs w:val="20"/>
        </w:rPr>
        <w:t xml:space="preserve">, </w:t>
      </w:r>
      <w:r w:rsidR="008A54F8">
        <w:rPr>
          <w:sz w:val="20"/>
          <w:szCs w:val="20"/>
        </w:rPr>
        <w:t xml:space="preserve">the potential </w:t>
      </w:r>
      <w:r>
        <w:rPr>
          <w:sz w:val="20"/>
          <w:szCs w:val="20"/>
        </w:rPr>
        <w:t>impact</w:t>
      </w:r>
      <w:r w:rsidR="008A54F8">
        <w:rPr>
          <w:sz w:val="20"/>
          <w:szCs w:val="20"/>
        </w:rPr>
        <w:t>s of how to define 52.6GHz-71GHz</w:t>
      </w:r>
      <w:r>
        <w:rPr>
          <w:sz w:val="20"/>
          <w:szCs w:val="20"/>
        </w:rPr>
        <w:t xml:space="preserve"> </w:t>
      </w:r>
      <w:r w:rsidR="008A54F8">
        <w:rPr>
          <w:sz w:val="20"/>
          <w:szCs w:val="20"/>
        </w:rPr>
        <w:t xml:space="preserve">in either a new FR or existing FR2 are discussed </w:t>
      </w:r>
      <w:r w:rsidR="008D7FC7">
        <w:rPr>
          <w:sz w:val="20"/>
          <w:szCs w:val="20"/>
        </w:rPr>
        <w:t>from RAN4 perspective</w:t>
      </w:r>
      <w:r w:rsidR="000F3400">
        <w:rPr>
          <w:sz w:val="20"/>
          <w:szCs w:val="20"/>
        </w:rPr>
        <w:t xml:space="preserve">. Profound impacts have been identified from the aspects of UE architecture, existing FR2 features, band agnostic principles, signaling and 3GPP specification maintenance. Based on the analysis, it is proposed that </w:t>
      </w:r>
    </w:p>
    <w:p w14:paraId="6CDECD7F" w14:textId="3A7E816A" w:rsidR="000F3400" w:rsidRPr="00384F83" w:rsidRDefault="000F3400" w:rsidP="00300BA9">
      <w:pPr>
        <w:rPr>
          <w:b/>
          <w:bCs/>
          <w:i/>
          <w:iCs/>
          <w:sz w:val="20"/>
          <w:szCs w:val="20"/>
        </w:rPr>
      </w:pPr>
    </w:p>
    <w:p w14:paraId="78C606D3" w14:textId="1851355B" w:rsidR="008D7FC7" w:rsidRDefault="008D7FC7" w:rsidP="008D7FC7">
      <w:pPr>
        <w:rPr>
          <w:b/>
          <w:bCs/>
          <w:sz w:val="20"/>
          <w:szCs w:val="20"/>
          <w:lang w:val="en-GB"/>
        </w:rPr>
      </w:pPr>
      <w:r w:rsidRPr="008D7FC7">
        <w:rPr>
          <w:b/>
          <w:bCs/>
          <w:sz w:val="20"/>
          <w:szCs w:val="20"/>
          <w:lang w:val="en-GB"/>
        </w:rPr>
        <w:t xml:space="preserve">Proposal 1: it is proposed to narrow down the list of options to Option 2 and 3a for further discussion.  </w:t>
      </w:r>
    </w:p>
    <w:p w14:paraId="6CF8BC53" w14:textId="77777777" w:rsidR="00E5549F" w:rsidRPr="00E5549F" w:rsidRDefault="00E5549F" w:rsidP="00E5549F">
      <w:pPr>
        <w:pStyle w:val="ListParagraph"/>
        <w:numPr>
          <w:ilvl w:val="1"/>
          <w:numId w:val="14"/>
        </w:numPr>
        <w:rPr>
          <w:b/>
          <w:bCs/>
          <w:sz w:val="20"/>
          <w:szCs w:val="20"/>
        </w:rPr>
      </w:pPr>
      <w:r w:rsidRPr="00E5549F">
        <w:rPr>
          <w:b/>
          <w:bCs/>
          <w:sz w:val="20"/>
          <w:szCs w:val="20"/>
        </w:rPr>
        <w:t>Option 2: introduce new FR3 for the new frequency range 52.6-71GHz</w:t>
      </w:r>
    </w:p>
    <w:p w14:paraId="7E7893B6" w14:textId="2B3B349B" w:rsidR="00E5549F" w:rsidRPr="00E5549F" w:rsidRDefault="00E5549F" w:rsidP="00E5549F">
      <w:pPr>
        <w:pStyle w:val="ListParagraph"/>
        <w:numPr>
          <w:ilvl w:val="1"/>
          <w:numId w:val="14"/>
        </w:numPr>
        <w:rPr>
          <w:b/>
          <w:bCs/>
          <w:sz w:val="20"/>
          <w:szCs w:val="20"/>
        </w:rPr>
      </w:pPr>
      <w:r w:rsidRPr="00E5549F">
        <w:rPr>
          <w:b/>
          <w:bCs/>
          <w:sz w:val="20"/>
          <w:szCs w:val="20"/>
        </w:rPr>
        <w:t>Option 3a: introduce new FR2a and FR2b notation for 24.25-52.6GHz</w:t>
      </w:r>
      <w:r>
        <w:rPr>
          <w:b/>
          <w:bCs/>
          <w:sz w:val="20"/>
          <w:szCs w:val="20"/>
        </w:rPr>
        <w:t xml:space="preserve"> and </w:t>
      </w:r>
      <w:r w:rsidRPr="00E5549F">
        <w:rPr>
          <w:b/>
          <w:bCs/>
          <w:sz w:val="20"/>
          <w:szCs w:val="20"/>
        </w:rPr>
        <w:t>52.6-71GHz, respectively</w:t>
      </w:r>
    </w:p>
    <w:p w14:paraId="6000BEC4" w14:textId="77777777" w:rsidR="008D7FC7" w:rsidRPr="008D7FC7" w:rsidRDefault="008D7FC7" w:rsidP="008D7FC7">
      <w:pPr>
        <w:rPr>
          <w:b/>
          <w:bCs/>
          <w:sz w:val="20"/>
          <w:szCs w:val="20"/>
          <w:lang w:val="en-GB"/>
        </w:rPr>
      </w:pPr>
    </w:p>
    <w:p w14:paraId="17A3579F" w14:textId="77777777" w:rsidR="008D7FC7" w:rsidRPr="008D7FC7" w:rsidRDefault="008D7FC7" w:rsidP="008D7FC7">
      <w:pPr>
        <w:rPr>
          <w:b/>
          <w:bCs/>
          <w:sz w:val="20"/>
          <w:szCs w:val="20"/>
        </w:rPr>
      </w:pPr>
      <w:r w:rsidRPr="008D7FC7">
        <w:rPr>
          <w:b/>
          <w:bCs/>
          <w:sz w:val="20"/>
          <w:szCs w:val="20"/>
          <w:lang w:val="en-GB"/>
        </w:rPr>
        <w:t xml:space="preserve">Proposal 2: the following principles should be considered to define the frequency range </w:t>
      </w:r>
      <w:r w:rsidRPr="008D7FC7">
        <w:rPr>
          <w:b/>
          <w:bCs/>
          <w:sz w:val="20"/>
          <w:szCs w:val="20"/>
        </w:rPr>
        <w:t>of 52.6 GHz to 71 GHz</w:t>
      </w:r>
    </w:p>
    <w:p w14:paraId="7065303F" w14:textId="77777777" w:rsidR="008D7FC7" w:rsidRPr="008D7FC7" w:rsidRDefault="008D7FC7" w:rsidP="008D7FC7">
      <w:pPr>
        <w:pStyle w:val="ListParagraph"/>
        <w:numPr>
          <w:ilvl w:val="0"/>
          <w:numId w:val="28"/>
        </w:numPr>
        <w:rPr>
          <w:b/>
          <w:bCs/>
          <w:sz w:val="20"/>
          <w:szCs w:val="20"/>
          <w:lang w:val="en-GB"/>
        </w:rPr>
      </w:pPr>
      <w:r w:rsidRPr="008D7FC7">
        <w:rPr>
          <w:b/>
          <w:bCs/>
          <w:sz w:val="20"/>
          <w:szCs w:val="20"/>
          <w:lang w:val="en-GB"/>
        </w:rPr>
        <w:t>No new spec should be introduced</w:t>
      </w:r>
    </w:p>
    <w:p w14:paraId="74F8D7A5" w14:textId="77777777" w:rsidR="008D7FC7" w:rsidRPr="00F54C0C" w:rsidRDefault="008D7FC7" w:rsidP="008D7FC7">
      <w:pPr>
        <w:pStyle w:val="ListParagraph"/>
        <w:numPr>
          <w:ilvl w:val="0"/>
          <w:numId w:val="28"/>
        </w:numPr>
        <w:rPr>
          <w:b/>
          <w:bCs/>
          <w:sz w:val="20"/>
          <w:szCs w:val="20"/>
        </w:rPr>
      </w:pPr>
      <w:r w:rsidRPr="008D7FC7">
        <w:rPr>
          <w:b/>
          <w:bCs/>
          <w:sz w:val="20"/>
          <w:szCs w:val="20"/>
        </w:rPr>
        <w:t>Ensure f</w:t>
      </w:r>
      <w:r w:rsidRPr="00F54C0C">
        <w:rPr>
          <w:b/>
          <w:bCs/>
          <w:sz w:val="20"/>
          <w:szCs w:val="20"/>
        </w:rPr>
        <w:t xml:space="preserve">lexibility to either reuse FR2 or introduce 60GHz-specific features and requirements </w:t>
      </w:r>
    </w:p>
    <w:p w14:paraId="0975D167" w14:textId="77777777" w:rsidR="008D7FC7" w:rsidRPr="008D7FC7" w:rsidRDefault="008D7FC7" w:rsidP="008D7FC7">
      <w:pPr>
        <w:pStyle w:val="ListParagraph"/>
        <w:numPr>
          <w:ilvl w:val="0"/>
          <w:numId w:val="28"/>
        </w:numPr>
        <w:rPr>
          <w:b/>
          <w:bCs/>
          <w:sz w:val="20"/>
          <w:szCs w:val="20"/>
          <w:lang w:val="en-GB"/>
        </w:rPr>
      </w:pPr>
      <w:r w:rsidRPr="008D7FC7">
        <w:rPr>
          <w:b/>
          <w:bCs/>
          <w:sz w:val="20"/>
          <w:szCs w:val="20"/>
          <w:lang w:val="en-GB"/>
        </w:rPr>
        <w:t>Strive to reduce the impact on existing spec</w:t>
      </w:r>
    </w:p>
    <w:p w14:paraId="1D257A9F" w14:textId="41DDE42D" w:rsidR="000F3400" w:rsidRPr="008D7FC7" w:rsidRDefault="000F3400" w:rsidP="00300BA9">
      <w:pPr>
        <w:rPr>
          <w:rFonts w:ascii="Helvetica" w:hAnsi="Helvetica"/>
          <w:b/>
          <w:bCs/>
          <w:i/>
          <w:iCs/>
          <w:sz w:val="18"/>
          <w:szCs w:val="18"/>
          <w:lang w:val="en-GB"/>
        </w:rPr>
      </w:pPr>
    </w:p>
    <w:p w14:paraId="788777F3" w14:textId="2265BA2B" w:rsidR="000F3400" w:rsidRDefault="000F3400" w:rsidP="00300BA9">
      <w:pPr>
        <w:rPr>
          <w:sz w:val="20"/>
          <w:szCs w:val="20"/>
        </w:rPr>
      </w:pPr>
      <w:r w:rsidRPr="00384F83">
        <w:rPr>
          <w:sz w:val="20"/>
          <w:szCs w:val="20"/>
        </w:rPr>
        <w:t xml:space="preserve">Regarding </w:t>
      </w:r>
      <w:r>
        <w:rPr>
          <w:sz w:val="20"/>
          <w:szCs w:val="20"/>
        </w:rPr>
        <w:t xml:space="preserve">the </w:t>
      </w:r>
      <w:r w:rsidR="008D7FC7">
        <w:rPr>
          <w:sz w:val="20"/>
          <w:szCs w:val="20"/>
        </w:rPr>
        <w:t xml:space="preserve">potential impact to extend the existing FR2 requirements and features to 52.6GHz-71GHz, it is shown that </w:t>
      </w:r>
    </w:p>
    <w:p w14:paraId="37F7E9E0" w14:textId="3CD4055A" w:rsidR="000F3400" w:rsidRDefault="000F3400" w:rsidP="00300BA9">
      <w:pPr>
        <w:rPr>
          <w:sz w:val="20"/>
          <w:szCs w:val="20"/>
        </w:rPr>
      </w:pPr>
    </w:p>
    <w:p w14:paraId="22D1C3FC" w14:textId="77777777" w:rsidR="008D7FC7" w:rsidRDefault="008D7FC7" w:rsidP="008D7FC7">
      <w:pPr>
        <w:rPr>
          <w:b/>
          <w:bCs/>
          <w:color w:val="000000"/>
          <w:sz w:val="20"/>
          <w:szCs w:val="20"/>
        </w:rPr>
      </w:pPr>
      <w:r w:rsidRPr="00BD3469">
        <w:rPr>
          <w:b/>
          <w:bCs/>
          <w:color w:val="000000"/>
          <w:sz w:val="20"/>
          <w:szCs w:val="20"/>
        </w:rPr>
        <w:t>Observation 1: At lease for the following FR2 features and requirements, it is not straightforward to reuse them for the frequency range from 52.6GHz to 71GHz</w:t>
      </w:r>
    </w:p>
    <w:p w14:paraId="64587056" w14:textId="77777777" w:rsidR="008D7FC7" w:rsidRDefault="008D7FC7" w:rsidP="008D7FC7">
      <w:pPr>
        <w:pStyle w:val="ListParagraph"/>
        <w:numPr>
          <w:ilvl w:val="1"/>
          <w:numId w:val="14"/>
        </w:numPr>
        <w:rPr>
          <w:b/>
          <w:bCs/>
          <w:color w:val="000000"/>
          <w:sz w:val="20"/>
          <w:szCs w:val="20"/>
        </w:rPr>
      </w:pPr>
      <w:r>
        <w:rPr>
          <w:b/>
          <w:bCs/>
          <w:color w:val="000000"/>
          <w:sz w:val="20"/>
          <w:szCs w:val="20"/>
        </w:rPr>
        <w:t>RRM:</w:t>
      </w:r>
    </w:p>
    <w:p w14:paraId="2FDA929F" w14:textId="77777777" w:rsidR="008D7FC7" w:rsidRDefault="008D7FC7" w:rsidP="008D7FC7">
      <w:pPr>
        <w:pStyle w:val="ListParagraph"/>
        <w:numPr>
          <w:ilvl w:val="2"/>
          <w:numId w:val="14"/>
        </w:numPr>
        <w:rPr>
          <w:b/>
          <w:bCs/>
          <w:color w:val="000000"/>
          <w:sz w:val="20"/>
          <w:szCs w:val="20"/>
        </w:rPr>
      </w:pPr>
      <w:r>
        <w:rPr>
          <w:b/>
          <w:bCs/>
          <w:color w:val="000000"/>
          <w:sz w:val="20"/>
          <w:szCs w:val="20"/>
        </w:rPr>
        <w:t>Measurement gap</w:t>
      </w:r>
    </w:p>
    <w:p w14:paraId="6F37AF82" w14:textId="77777777"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Beam sweeping based measurement delay requirements</w:t>
      </w:r>
    </w:p>
    <w:p w14:paraId="4654EE96" w14:textId="77777777" w:rsidR="008D7FC7" w:rsidRDefault="008D7FC7" w:rsidP="008D7FC7">
      <w:pPr>
        <w:pStyle w:val="ListParagraph"/>
        <w:numPr>
          <w:ilvl w:val="2"/>
          <w:numId w:val="14"/>
        </w:numPr>
        <w:rPr>
          <w:b/>
          <w:bCs/>
          <w:color w:val="000000"/>
          <w:sz w:val="20"/>
          <w:szCs w:val="20"/>
        </w:rPr>
      </w:pPr>
      <w:r>
        <w:rPr>
          <w:b/>
          <w:bCs/>
          <w:color w:val="000000"/>
          <w:sz w:val="20"/>
          <w:szCs w:val="20"/>
        </w:rPr>
        <w:t>Accuracy requirements</w:t>
      </w:r>
    </w:p>
    <w:p w14:paraId="4351BABF" w14:textId="77777777"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 xml:space="preserve">Timing requirement </w:t>
      </w:r>
    </w:p>
    <w:p w14:paraId="31760B74" w14:textId="77777777"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Interruption requirement with aggressor or victims</w:t>
      </w:r>
    </w:p>
    <w:p w14:paraId="18A2215B" w14:textId="77777777" w:rsidR="008D7FC7" w:rsidRDefault="008D7FC7" w:rsidP="008D7FC7">
      <w:pPr>
        <w:pStyle w:val="ListParagraph"/>
        <w:numPr>
          <w:ilvl w:val="1"/>
          <w:numId w:val="14"/>
        </w:numPr>
        <w:rPr>
          <w:b/>
          <w:bCs/>
          <w:color w:val="000000"/>
          <w:sz w:val="20"/>
          <w:szCs w:val="20"/>
        </w:rPr>
      </w:pPr>
      <w:proofErr w:type="spellStart"/>
      <w:r>
        <w:rPr>
          <w:b/>
          <w:bCs/>
          <w:color w:val="000000"/>
          <w:sz w:val="20"/>
          <w:szCs w:val="20"/>
        </w:rPr>
        <w:t>Demod</w:t>
      </w:r>
      <w:proofErr w:type="spellEnd"/>
      <w:r>
        <w:rPr>
          <w:b/>
          <w:bCs/>
          <w:color w:val="000000"/>
          <w:sz w:val="20"/>
          <w:szCs w:val="20"/>
        </w:rPr>
        <w:t>:</w:t>
      </w:r>
    </w:p>
    <w:p w14:paraId="1EE66D16" w14:textId="77777777" w:rsidR="008D7FC7" w:rsidRDefault="008D7FC7" w:rsidP="008D7FC7">
      <w:pPr>
        <w:pStyle w:val="ListParagraph"/>
        <w:numPr>
          <w:ilvl w:val="2"/>
          <w:numId w:val="14"/>
        </w:numPr>
        <w:rPr>
          <w:b/>
          <w:bCs/>
          <w:color w:val="000000"/>
          <w:sz w:val="20"/>
          <w:szCs w:val="20"/>
        </w:rPr>
      </w:pPr>
      <w:r>
        <w:rPr>
          <w:b/>
          <w:bCs/>
          <w:color w:val="000000"/>
          <w:sz w:val="20"/>
          <w:szCs w:val="20"/>
        </w:rPr>
        <w:t xml:space="preserve">Existing </w:t>
      </w:r>
      <w:proofErr w:type="spellStart"/>
      <w:r>
        <w:rPr>
          <w:b/>
          <w:bCs/>
          <w:color w:val="000000"/>
          <w:sz w:val="20"/>
          <w:szCs w:val="20"/>
        </w:rPr>
        <w:t>demod</w:t>
      </w:r>
      <w:proofErr w:type="spellEnd"/>
      <w:r>
        <w:rPr>
          <w:b/>
          <w:bCs/>
          <w:color w:val="000000"/>
          <w:sz w:val="20"/>
          <w:szCs w:val="20"/>
        </w:rPr>
        <w:t xml:space="preserve"> and CSI requirements due to </w:t>
      </w:r>
      <w:r w:rsidRPr="008D7FC7">
        <w:rPr>
          <w:b/>
          <w:bCs/>
          <w:color w:val="000000"/>
          <w:sz w:val="20"/>
          <w:szCs w:val="20"/>
        </w:rPr>
        <w:t>potential enhancements to PT-RS and DM-RS for 60GHz operation</w:t>
      </w:r>
    </w:p>
    <w:p w14:paraId="08F3B458" w14:textId="77777777" w:rsidR="008D7FC7" w:rsidRDefault="008D7FC7" w:rsidP="008D7FC7">
      <w:pPr>
        <w:pStyle w:val="ListParagraph"/>
        <w:numPr>
          <w:ilvl w:val="2"/>
          <w:numId w:val="14"/>
        </w:numPr>
        <w:rPr>
          <w:b/>
          <w:bCs/>
          <w:color w:val="000000"/>
          <w:sz w:val="20"/>
          <w:szCs w:val="20"/>
        </w:rPr>
      </w:pPr>
      <w:r>
        <w:rPr>
          <w:b/>
          <w:bCs/>
          <w:color w:val="000000"/>
          <w:sz w:val="20"/>
          <w:szCs w:val="20"/>
        </w:rPr>
        <w:t xml:space="preserve">Based on the ongoing discussion about the applicability of existing </w:t>
      </w:r>
      <w:r w:rsidRPr="008D7FC7">
        <w:rPr>
          <w:b/>
          <w:bCs/>
          <w:color w:val="000000"/>
          <w:sz w:val="20"/>
          <w:szCs w:val="20"/>
        </w:rPr>
        <w:t xml:space="preserve">FR2 </w:t>
      </w:r>
      <w:proofErr w:type="spellStart"/>
      <w:r w:rsidRPr="008D7FC7">
        <w:rPr>
          <w:b/>
          <w:bCs/>
          <w:color w:val="000000"/>
          <w:sz w:val="20"/>
          <w:szCs w:val="20"/>
        </w:rPr>
        <w:t>demod</w:t>
      </w:r>
      <w:proofErr w:type="spellEnd"/>
      <w:r w:rsidRPr="008D7FC7">
        <w:rPr>
          <w:b/>
          <w:bCs/>
          <w:color w:val="000000"/>
          <w:sz w:val="20"/>
          <w:szCs w:val="20"/>
        </w:rPr>
        <w:t xml:space="preserve"> requirements to band n262 / 47GHz</w:t>
      </w:r>
      <w:r>
        <w:rPr>
          <w:b/>
          <w:bCs/>
          <w:color w:val="000000"/>
          <w:sz w:val="20"/>
          <w:szCs w:val="20"/>
        </w:rPr>
        <w:t xml:space="preserve">, similar approach should be done for 60GHz. </w:t>
      </w:r>
    </w:p>
    <w:p w14:paraId="085A5529" w14:textId="77777777" w:rsidR="008D7FC7" w:rsidRDefault="008D7FC7" w:rsidP="008D7FC7">
      <w:pPr>
        <w:pStyle w:val="ListParagraph"/>
        <w:numPr>
          <w:ilvl w:val="1"/>
          <w:numId w:val="14"/>
        </w:numPr>
        <w:rPr>
          <w:b/>
          <w:bCs/>
          <w:color w:val="000000"/>
          <w:sz w:val="20"/>
          <w:szCs w:val="20"/>
        </w:rPr>
      </w:pPr>
      <w:r>
        <w:rPr>
          <w:b/>
          <w:bCs/>
          <w:color w:val="000000"/>
          <w:sz w:val="20"/>
          <w:szCs w:val="20"/>
        </w:rPr>
        <w:t>UE RF:</w:t>
      </w:r>
    </w:p>
    <w:p w14:paraId="0C81BA6C" w14:textId="77777777" w:rsidR="008D7FC7" w:rsidRPr="008D7FC7" w:rsidRDefault="008D7FC7" w:rsidP="008D7FC7">
      <w:pPr>
        <w:pStyle w:val="ListParagraph"/>
        <w:numPr>
          <w:ilvl w:val="2"/>
          <w:numId w:val="14"/>
        </w:numPr>
        <w:rPr>
          <w:b/>
          <w:bCs/>
          <w:color w:val="000000"/>
          <w:sz w:val="20"/>
          <w:szCs w:val="20"/>
        </w:rPr>
      </w:pPr>
      <w:r w:rsidRPr="008D7FC7">
        <w:rPr>
          <w:b/>
          <w:bCs/>
          <w:color w:val="000000"/>
          <w:sz w:val="20"/>
          <w:szCs w:val="20"/>
        </w:rPr>
        <w:t xml:space="preserve">RF components’ performance such PA, LO, filter </w:t>
      </w:r>
      <w:proofErr w:type="gramStart"/>
      <w:r w:rsidRPr="008D7FC7">
        <w:rPr>
          <w:b/>
          <w:bCs/>
          <w:color w:val="000000"/>
          <w:sz w:val="20"/>
          <w:szCs w:val="20"/>
        </w:rPr>
        <w:t>are</w:t>
      </w:r>
      <w:proofErr w:type="gramEnd"/>
      <w:r w:rsidRPr="008D7FC7">
        <w:rPr>
          <w:b/>
          <w:bCs/>
          <w:color w:val="000000"/>
          <w:sz w:val="20"/>
          <w:szCs w:val="20"/>
        </w:rPr>
        <w:t xml:space="preserve"> not expected to be as good as for FR2</w:t>
      </w:r>
      <w:r>
        <w:rPr>
          <w:b/>
          <w:bCs/>
          <w:color w:val="000000"/>
          <w:sz w:val="20"/>
          <w:szCs w:val="20"/>
        </w:rPr>
        <w:t xml:space="preserve">. The related impacts should be further discussed </w:t>
      </w:r>
    </w:p>
    <w:p w14:paraId="41BB36C8" w14:textId="0AB5ADEA" w:rsidR="005E69AE" w:rsidRDefault="005E69AE" w:rsidP="00662A4B"/>
    <w:p w14:paraId="4D133CD8" w14:textId="4D8B9443" w:rsidR="00276EE4" w:rsidRPr="003A0483" w:rsidRDefault="005E69AE" w:rsidP="00BC4103">
      <w:pPr>
        <w:pStyle w:val="Heading1"/>
      </w:pPr>
      <w:r>
        <w:t>4</w:t>
      </w:r>
      <w:r>
        <w:tab/>
        <w:t>References</w:t>
      </w:r>
    </w:p>
    <w:p w14:paraId="10335E92" w14:textId="01A31550" w:rsidR="00821AEF" w:rsidRPr="00D857BA" w:rsidRDefault="00821AEF" w:rsidP="00276EE4">
      <w:pPr>
        <w:pStyle w:val="EX"/>
        <w:rPr>
          <w:sz w:val="20"/>
          <w:szCs w:val="20"/>
        </w:rPr>
      </w:pPr>
      <w:bookmarkStart w:id="2" w:name="_Ref31651909"/>
      <w:bookmarkStart w:id="3" w:name="_Ref13820109"/>
      <w:r w:rsidRPr="00D857BA">
        <w:rPr>
          <w:sz w:val="20"/>
          <w:szCs w:val="20"/>
        </w:rPr>
        <w:t>RP-</w:t>
      </w:r>
      <w:r w:rsidR="005273BE" w:rsidRPr="00D857BA">
        <w:rPr>
          <w:sz w:val="20"/>
          <w:szCs w:val="20"/>
        </w:rPr>
        <w:t>202925</w:t>
      </w:r>
      <w:r w:rsidRPr="00D857BA">
        <w:rPr>
          <w:sz w:val="20"/>
          <w:szCs w:val="20"/>
        </w:rPr>
        <w:t>, "</w:t>
      </w:r>
      <w:r w:rsidR="005273BE" w:rsidRPr="00D857BA">
        <w:rPr>
          <w:sz w:val="20"/>
          <w:szCs w:val="20"/>
        </w:rPr>
        <w:t>Revised WID:  Extending current NR operation to 71 GHz</w:t>
      </w:r>
      <w:r w:rsidRPr="00D857BA">
        <w:rPr>
          <w:sz w:val="20"/>
          <w:szCs w:val="20"/>
        </w:rPr>
        <w:t xml:space="preserve">", </w:t>
      </w:r>
      <w:bookmarkEnd w:id="2"/>
      <w:r w:rsidR="005273BE" w:rsidRPr="00D857BA">
        <w:rPr>
          <w:sz w:val="20"/>
          <w:szCs w:val="20"/>
        </w:rPr>
        <w:t>CMCC</w:t>
      </w:r>
    </w:p>
    <w:bookmarkEnd w:id="0"/>
    <w:bookmarkEnd w:id="3"/>
    <w:p w14:paraId="50A569BD" w14:textId="4C8BB88F" w:rsidR="00BC4103" w:rsidRDefault="00BC4103" w:rsidP="006459B5">
      <w:pPr>
        <w:pStyle w:val="EX"/>
        <w:numPr>
          <w:ilvl w:val="0"/>
          <w:numId w:val="0"/>
        </w:numPr>
      </w:pPr>
    </w:p>
    <w:sectPr w:rsidR="00BC4103" w:rsidSect="00114E2C">
      <w:headerReference w:type="default" r:id="rId18"/>
      <w:footerReference w:type="default" r:id="rId19"/>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B15C2B5" w14:textId="77777777" w:rsidR="0098459B" w:rsidRDefault="0098459B">
      <w:r>
        <w:separator/>
      </w:r>
    </w:p>
  </w:endnote>
  <w:endnote w:type="continuationSeparator" w:id="0">
    <w:p w14:paraId="78B50DFC" w14:textId="77777777" w:rsidR="0098459B" w:rsidRDefault="0098459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3" w:usb1="1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Segoe UI">
    <w:altName w:val="Sylfaen"/>
    <w:panose1 w:val="020B0604020202020204"/>
    <w:charset w:val="00"/>
    <w:family w:val="swiss"/>
    <w:pitch w:val="variable"/>
    <w:sig w:usb0="E4002EFF" w:usb1="C000E47F" w:usb2="00000009" w:usb3="00000000" w:csb0="000001FF" w:csb1="00000000"/>
  </w:font>
  <w:font w:name="Helvetica">
    <w:panose1 w:val="00000000000000000000"/>
    <w:charset w:val="00"/>
    <w:family w:val="auto"/>
    <w:pitch w:val="variable"/>
    <w:sig w:usb0="E00002FF" w:usb1="5000785B" w:usb2="00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596AD21" w14:textId="77777777" w:rsidR="0098459B" w:rsidRDefault="0098459B">
      <w:r>
        <w:separator/>
      </w:r>
    </w:p>
  </w:footnote>
  <w:footnote w:type="continuationSeparator" w:id="0">
    <w:p w14:paraId="41E73A18" w14:textId="77777777" w:rsidR="0098459B" w:rsidRDefault="0098459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04253B5F"/>
    <w:multiLevelType w:val="hybridMultilevel"/>
    <w:tmpl w:val="CB1C7ECA"/>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5"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103D2167"/>
    <w:multiLevelType w:val="hybridMultilevel"/>
    <w:tmpl w:val="C9AA2B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F93623"/>
    <w:multiLevelType w:val="multilevel"/>
    <w:tmpl w:val="2E90C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192268C"/>
    <w:multiLevelType w:val="multilevel"/>
    <w:tmpl w:val="DFAC46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7470C19"/>
    <w:multiLevelType w:val="hybridMultilevel"/>
    <w:tmpl w:val="87C62F78"/>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10" w15:restartNumberingAfterBreak="0">
    <w:nsid w:val="2A01248F"/>
    <w:multiLevelType w:val="hybridMultilevel"/>
    <w:tmpl w:val="DCECCF44"/>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11" w15:restartNumberingAfterBreak="0">
    <w:nsid w:val="328B2A6C"/>
    <w:multiLevelType w:val="hybridMultilevel"/>
    <w:tmpl w:val="6CF0AF7E"/>
    <w:lvl w:ilvl="0" w:tplc="04090001">
      <w:start w:val="1"/>
      <w:numFmt w:val="bullet"/>
      <w:lvlText w:val=""/>
      <w:lvlJc w:val="left"/>
      <w:pPr>
        <w:ind w:left="779" w:hanging="360"/>
      </w:pPr>
      <w:rPr>
        <w:rFonts w:ascii="Symbol" w:hAnsi="Symbol" w:cs="Symbol" w:hint="default"/>
      </w:rPr>
    </w:lvl>
    <w:lvl w:ilvl="1" w:tplc="04090003" w:tentative="1">
      <w:start w:val="1"/>
      <w:numFmt w:val="bullet"/>
      <w:lvlText w:val="o"/>
      <w:lvlJc w:val="left"/>
      <w:pPr>
        <w:ind w:left="1499" w:hanging="360"/>
      </w:pPr>
      <w:rPr>
        <w:rFonts w:ascii="Courier New" w:hAnsi="Courier New" w:cs="Courier New" w:hint="default"/>
      </w:rPr>
    </w:lvl>
    <w:lvl w:ilvl="2" w:tplc="04090005" w:tentative="1">
      <w:start w:val="1"/>
      <w:numFmt w:val="bullet"/>
      <w:lvlText w:val=""/>
      <w:lvlJc w:val="left"/>
      <w:pPr>
        <w:ind w:left="2219" w:hanging="360"/>
      </w:pPr>
      <w:rPr>
        <w:rFonts w:ascii="Wingdings" w:hAnsi="Wingdings" w:cs="Wingdings" w:hint="default"/>
      </w:rPr>
    </w:lvl>
    <w:lvl w:ilvl="3" w:tplc="04090001" w:tentative="1">
      <w:start w:val="1"/>
      <w:numFmt w:val="bullet"/>
      <w:lvlText w:val=""/>
      <w:lvlJc w:val="left"/>
      <w:pPr>
        <w:ind w:left="2939" w:hanging="360"/>
      </w:pPr>
      <w:rPr>
        <w:rFonts w:ascii="Symbol" w:hAnsi="Symbol" w:cs="Symbol" w:hint="default"/>
      </w:rPr>
    </w:lvl>
    <w:lvl w:ilvl="4" w:tplc="04090003" w:tentative="1">
      <w:start w:val="1"/>
      <w:numFmt w:val="bullet"/>
      <w:lvlText w:val="o"/>
      <w:lvlJc w:val="left"/>
      <w:pPr>
        <w:ind w:left="3659" w:hanging="360"/>
      </w:pPr>
      <w:rPr>
        <w:rFonts w:ascii="Courier New" w:hAnsi="Courier New" w:cs="Courier New" w:hint="default"/>
      </w:rPr>
    </w:lvl>
    <w:lvl w:ilvl="5" w:tplc="04090005" w:tentative="1">
      <w:start w:val="1"/>
      <w:numFmt w:val="bullet"/>
      <w:lvlText w:val=""/>
      <w:lvlJc w:val="left"/>
      <w:pPr>
        <w:ind w:left="4379" w:hanging="360"/>
      </w:pPr>
      <w:rPr>
        <w:rFonts w:ascii="Wingdings" w:hAnsi="Wingdings" w:cs="Wingdings" w:hint="default"/>
      </w:rPr>
    </w:lvl>
    <w:lvl w:ilvl="6" w:tplc="04090001" w:tentative="1">
      <w:start w:val="1"/>
      <w:numFmt w:val="bullet"/>
      <w:lvlText w:val=""/>
      <w:lvlJc w:val="left"/>
      <w:pPr>
        <w:ind w:left="5099" w:hanging="360"/>
      </w:pPr>
      <w:rPr>
        <w:rFonts w:ascii="Symbol" w:hAnsi="Symbol" w:cs="Symbol" w:hint="default"/>
      </w:rPr>
    </w:lvl>
    <w:lvl w:ilvl="7" w:tplc="04090003" w:tentative="1">
      <w:start w:val="1"/>
      <w:numFmt w:val="bullet"/>
      <w:lvlText w:val="o"/>
      <w:lvlJc w:val="left"/>
      <w:pPr>
        <w:ind w:left="5819" w:hanging="360"/>
      </w:pPr>
      <w:rPr>
        <w:rFonts w:ascii="Courier New" w:hAnsi="Courier New" w:cs="Courier New" w:hint="default"/>
      </w:rPr>
    </w:lvl>
    <w:lvl w:ilvl="8" w:tplc="04090005" w:tentative="1">
      <w:start w:val="1"/>
      <w:numFmt w:val="bullet"/>
      <w:lvlText w:val=""/>
      <w:lvlJc w:val="left"/>
      <w:pPr>
        <w:ind w:left="6539" w:hanging="360"/>
      </w:pPr>
      <w:rPr>
        <w:rFonts w:ascii="Wingdings" w:hAnsi="Wingdings" w:cs="Wingdings" w:hint="default"/>
      </w:rPr>
    </w:lvl>
  </w:abstractNum>
  <w:abstractNum w:abstractNumId="12" w15:restartNumberingAfterBreak="0">
    <w:nsid w:val="385B41E0"/>
    <w:multiLevelType w:val="hybridMultilevel"/>
    <w:tmpl w:val="AC0A772A"/>
    <w:lvl w:ilvl="0" w:tplc="47E0CFDC">
      <w:start w:val="1"/>
      <w:numFmt w:val="decimal"/>
      <w:lvlText w:val="%1"/>
      <w:lvlJc w:val="left"/>
      <w:pPr>
        <w:ind w:left="1500" w:hanging="114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3978618B"/>
    <w:multiLevelType w:val="hybridMultilevel"/>
    <w:tmpl w:val="C9266C5A"/>
    <w:lvl w:ilvl="0" w:tplc="21B81AC4">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42EE5A6E"/>
    <w:multiLevelType w:val="hybridMultilevel"/>
    <w:tmpl w:val="61EAB02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464A3562"/>
    <w:multiLevelType w:val="hybridMultilevel"/>
    <w:tmpl w:val="83340AE0"/>
    <w:lvl w:ilvl="0" w:tplc="247276F8">
      <w:start w:val="2"/>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51F9778B"/>
    <w:multiLevelType w:val="hybridMultilevel"/>
    <w:tmpl w:val="B0E28206"/>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18" w15:restartNumberingAfterBreak="0">
    <w:nsid w:val="58A620CD"/>
    <w:multiLevelType w:val="hybridMultilevel"/>
    <w:tmpl w:val="066CAA8A"/>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C213A24"/>
    <w:multiLevelType w:val="hybridMultilevel"/>
    <w:tmpl w:val="E58CDD24"/>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 w15:restartNumberingAfterBreak="0">
    <w:nsid w:val="60415742"/>
    <w:multiLevelType w:val="hybridMultilevel"/>
    <w:tmpl w:val="A19C590C"/>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21" w15:restartNumberingAfterBreak="0">
    <w:nsid w:val="61CE6EDE"/>
    <w:multiLevelType w:val="hybridMultilevel"/>
    <w:tmpl w:val="1764C626"/>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2" w15:restartNumberingAfterBreak="0">
    <w:nsid w:val="63062994"/>
    <w:multiLevelType w:val="hybridMultilevel"/>
    <w:tmpl w:val="D7DEE708"/>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4" w15:restartNumberingAfterBreak="0">
    <w:nsid w:val="78CC6CFC"/>
    <w:multiLevelType w:val="hybridMultilevel"/>
    <w:tmpl w:val="5450E354"/>
    <w:lvl w:ilvl="0" w:tplc="04090001">
      <w:start w:val="1"/>
      <w:numFmt w:val="bullet"/>
      <w:lvlText w:val=""/>
      <w:lvlJc w:val="left"/>
      <w:pPr>
        <w:ind w:left="360" w:hanging="360"/>
      </w:pPr>
      <w:rPr>
        <w:rFonts w:ascii="Symbol" w:hAnsi="Symbol" w:cs="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abstractNum w:abstractNumId="25" w15:restartNumberingAfterBreak="0">
    <w:nsid w:val="7B315CA6"/>
    <w:multiLevelType w:val="hybridMultilevel"/>
    <w:tmpl w:val="382084B4"/>
    <w:lvl w:ilvl="0" w:tplc="04090001">
      <w:start w:val="1"/>
      <w:numFmt w:val="bullet"/>
      <w:lvlText w:val=""/>
      <w:lvlJc w:val="left"/>
      <w:pPr>
        <w:ind w:left="360" w:hanging="360"/>
      </w:pPr>
      <w:rPr>
        <w:rFonts w:ascii="Symbol" w:hAnsi="Symbol" w:cs="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cs="Wingdings" w:hint="default"/>
      </w:rPr>
    </w:lvl>
    <w:lvl w:ilvl="3" w:tplc="04090001" w:tentative="1">
      <w:start w:val="1"/>
      <w:numFmt w:val="bullet"/>
      <w:lvlText w:val=""/>
      <w:lvlJc w:val="left"/>
      <w:pPr>
        <w:ind w:left="2520" w:hanging="360"/>
      </w:pPr>
      <w:rPr>
        <w:rFonts w:ascii="Symbol" w:hAnsi="Symbol" w:cs="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cs="Wingdings" w:hint="default"/>
      </w:rPr>
    </w:lvl>
    <w:lvl w:ilvl="6" w:tplc="04090001" w:tentative="1">
      <w:start w:val="1"/>
      <w:numFmt w:val="bullet"/>
      <w:lvlText w:val=""/>
      <w:lvlJc w:val="left"/>
      <w:pPr>
        <w:ind w:left="4680" w:hanging="360"/>
      </w:pPr>
      <w:rPr>
        <w:rFonts w:ascii="Symbol" w:hAnsi="Symbol" w:cs="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cs="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23"/>
  </w:num>
  <w:num w:numId="5">
    <w:abstractNumId w:val="3"/>
  </w:num>
  <w:num w:numId="6">
    <w:abstractNumId w:val="3"/>
  </w:num>
  <w:num w:numId="7">
    <w:abstractNumId w:val="14"/>
  </w:num>
  <w:num w:numId="8">
    <w:abstractNumId w:val="5"/>
  </w:num>
  <w:num w:numId="9">
    <w:abstractNumId w:val="16"/>
  </w:num>
  <w:num w:numId="10">
    <w:abstractNumId w:val="20"/>
  </w:num>
  <w:num w:numId="11">
    <w:abstractNumId w:val="10"/>
  </w:num>
  <w:num w:numId="12">
    <w:abstractNumId w:val="8"/>
  </w:num>
  <w:num w:numId="13">
    <w:abstractNumId w:val="7"/>
  </w:num>
  <w:num w:numId="14">
    <w:abstractNumId w:val="19"/>
  </w:num>
  <w:num w:numId="15">
    <w:abstractNumId w:val="12"/>
  </w:num>
  <w:num w:numId="16">
    <w:abstractNumId w:val="18"/>
  </w:num>
  <w:num w:numId="17">
    <w:abstractNumId w:val="13"/>
  </w:num>
  <w:num w:numId="18">
    <w:abstractNumId w:val="6"/>
  </w:num>
  <w:num w:numId="19">
    <w:abstractNumId w:val="15"/>
  </w:num>
  <w:num w:numId="20">
    <w:abstractNumId w:val="1"/>
  </w:num>
  <w:num w:numId="21">
    <w:abstractNumId w:val="4"/>
  </w:num>
  <w:num w:numId="22">
    <w:abstractNumId w:val="25"/>
  </w:num>
  <w:num w:numId="23">
    <w:abstractNumId w:val="17"/>
  </w:num>
  <w:num w:numId="24">
    <w:abstractNumId w:val="24"/>
  </w:num>
  <w:num w:numId="25">
    <w:abstractNumId w:val="21"/>
  </w:num>
  <w:num w:numId="26">
    <w:abstractNumId w:val="9"/>
  </w:num>
  <w:num w:numId="27">
    <w:abstractNumId w:val="22"/>
  </w:num>
  <w:num w:numId="28">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7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B86"/>
    <w:rsid w:val="00002C14"/>
    <w:rsid w:val="00003844"/>
    <w:rsid w:val="000129A5"/>
    <w:rsid w:val="00012A37"/>
    <w:rsid w:val="00026BD3"/>
    <w:rsid w:val="00033397"/>
    <w:rsid w:val="00040095"/>
    <w:rsid w:val="00046768"/>
    <w:rsid w:val="00051834"/>
    <w:rsid w:val="0005477E"/>
    <w:rsid w:val="00054A22"/>
    <w:rsid w:val="00062023"/>
    <w:rsid w:val="000655A6"/>
    <w:rsid w:val="00080512"/>
    <w:rsid w:val="000A365D"/>
    <w:rsid w:val="000A68F3"/>
    <w:rsid w:val="000B4E6A"/>
    <w:rsid w:val="000B7599"/>
    <w:rsid w:val="000C47C3"/>
    <w:rsid w:val="000D2AB6"/>
    <w:rsid w:val="000D2C4B"/>
    <w:rsid w:val="000D58AB"/>
    <w:rsid w:val="000E3702"/>
    <w:rsid w:val="000F3400"/>
    <w:rsid w:val="000F42F7"/>
    <w:rsid w:val="000F4BE8"/>
    <w:rsid w:val="000F5D71"/>
    <w:rsid w:val="00101EB9"/>
    <w:rsid w:val="00104BC6"/>
    <w:rsid w:val="00112A20"/>
    <w:rsid w:val="00112D80"/>
    <w:rsid w:val="00114E2C"/>
    <w:rsid w:val="00133525"/>
    <w:rsid w:val="001620A7"/>
    <w:rsid w:val="00162A8A"/>
    <w:rsid w:val="00165302"/>
    <w:rsid w:val="00182F98"/>
    <w:rsid w:val="00195EF9"/>
    <w:rsid w:val="001A1513"/>
    <w:rsid w:val="001A4C42"/>
    <w:rsid w:val="001C21C3"/>
    <w:rsid w:val="001D02C2"/>
    <w:rsid w:val="001D0599"/>
    <w:rsid w:val="001D3883"/>
    <w:rsid w:val="001F0C1D"/>
    <w:rsid w:val="001F1132"/>
    <w:rsid w:val="001F168B"/>
    <w:rsid w:val="00210943"/>
    <w:rsid w:val="00211302"/>
    <w:rsid w:val="00223E60"/>
    <w:rsid w:val="002347A2"/>
    <w:rsid w:val="00247926"/>
    <w:rsid w:val="00261DE3"/>
    <w:rsid w:val="00262167"/>
    <w:rsid w:val="002654F1"/>
    <w:rsid w:val="002675F0"/>
    <w:rsid w:val="00276EE4"/>
    <w:rsid w:val="002B2D3F"/>
    <w:rsid w:val="002B6339"/>
    <w:rsid w:val="002D56F3"/>
    <w:rsid w:val="002E00EE"/>
    <w:rsid w:val="00300BA9"/>
    <w:rsid w:val="00301868"/>
    <w:rsid w:val="00313A57"/>
    <w:rsid w:val="003172DC"/>
    <w:rsid w:val="00324054"/>
    <w:rsid w:val="00336438"/>
    <w:rsid w:val="003378AE"/>
    <w:rsid w:val="0034052F"/>
    <w:rsid w:val="0034273B"/>
    <w:rsid w:val="00345425"/>
    <w:rsid w:val="0034735C"/>
    <w:rsid w:val="0035462D"/>
    <w:rsid w:val="00357075"/>
    <w:rsid w:val="003650C3"/>
    <w:rsid w:val="0036620E"/>
    <w:rsid w:val="00370A9A"/>
    <w:rsid w:val="00371558"/>
    <w:rsid w:val="003765B8"/>
    <w:rsid w:val="00384F83"/>
    <w:rsid w:val="003A0483"/>
    <w:rsid w:val="003B4652"/>
    <w:rsid w:val="003C3971"/>
    <w:rsid w:val="003C4D69"/>
    <w:rsid w:val="003D37E2"/>
    <w:rsid w:val="003D4522"/>
    <w:rsid w:val="003E2C78"/>
    <w:rsid w:val="003E7753"/>
    <w:rsid w:val="003F07E3"/>
    <w:rsid w:val="003F6793"/>
    <w:rsid w:val="0041089F"/>
    <w:rsid w:val="00412687"/>
    <w:rsid w:val="00423334"/>
    <w:rsid w:val="00424397"/>
    <w:rsid w:val="0042668D"/>
    <w:rsid w:val="00430001"/>
    <w:rsid w:val="004345EC"/>
    <w:rsid w:val="004406A5"/>
    <w:rsid w:val="00443B1F"/>
    <w:rsid w:val="00445952"/>
    <w:rsid w:val="00472C04"/>
    <w:rsid w:val="004826A9"/>
    <w:rsid w:val="004837BD"/>
    <w:rsid w:val="004A6B02"/>
    <w:rsid w:val="004B0ECB"/>
    <w:rsid w:val="004C1601"/>
    <w:rsid w:val="004D3578"/>
    <w:rsid w:val="004E213A"/>
    <w:rsid w:val="004E3C97"/>
    <w:rsid w:val="004F0988"/>
    <w:rsid w:val="004F3340"/>
    <w:rsid w:val="004F3E3D"/>
    <w:rsid w:val="004F46DD"/>
    <w:rsid w:val="004F6220"/>
    <w:rsid w:val="00503000"/>
    <w:rsid w:val="00506787"/>
    <w:rsid w:val="005157F0"/>
    <w:rsid w:val="00520120"/>
    <w:rsid w:val="005204B4"/>
    <w:rsid w:val="005273BE"/>
    <w:rsid w:val="0053388B"/>
    <w:rsid w:val="00535773"/>
    <w:rsid w:val="00542052"/>
    <w:rsid w:val="00543E6C"/>
    <w:rsid w:val="00555534"/>
    <w:rsid w:val="00565087"/>
    <w:rsid w:val="0057261C"/>
    <w:rsid w:val="00572E14"/>
    <w:rsid w:val="005930E6"/>
    <w:rsid w:val="005973BE"/>
    <w:rsid w:val="005A5986"/>
    <w:rsid w:val="005B1F1B"/>
    <w:rsid w:val="005C4000"/>
    <w:rsid w:val="005C6551"/>
    <w:rsid w:val="005D2E01"/>
    <w:rsid w:val="005D7526"/>
    <w:rsid w:val="005E69AE"/>
    <w:rsid w:val="005F4CDD"/>
    <w:rsid w:val="00602AEA"/>
    <w:rsid w:val="00607E3C"/>
    <w:rsid w:val="00614FDF"/>
    <w:rsid w:val="00623C82"/>
    <w:rsid w:val="006246A7"/>
    <w:rsid w:val="0062595A"/>
    <w:rsid w:val="00632B45"/>
    <w:rsid w:val="006343D6"/>
    <w:rsid w:val="0063543D"/>
    <w:rsid w:val="006459B5"/>
    <w:rsid w:val="00647114"/>
    <w:rsid w:val="00662A4B"/>
    <w:rsid w:val="00662A57"/>
    <w:rsid w:val="006A0145"/>
    <w:rsid w:val="006A016F"/>
    <w:rsid w:val="006A323F"/>
    <w:rsid w:val="006B30D0"/>
    <w:rsid w:val="006C0AD3"/>
    <w:rsid w:val="006C3D95"/>
    <w:rsid w:val="006C79D3"/>
    <w:rsid w:val="006E5C86"/>
    <w:rsid w:val="006F71F4"/>
    <w:rsid w:val="007059D9"/>
    <w:rsid w:val="00713C44"/>
    <w:rsid w:val="00723A44"/>
    <w:rsid w:val="00726A73"/>
    <w:rsid w:val="00734A5B"/>
    <w:rsid w:val="0074026F"/>
    <w:rsid w:val="007429F6"/>
    <w:rsid w:val="00742B5A"/>
    <w:rsid w:val="00744E76"/>
    <w:rsid w:val="00752198"/>
    <w:rsid w:val="00753881"/>
    <w:rsid w:val="007615CA"/>
    <w:rsid w:val="00774DA4"/>
    <w:rsid w:val="00781F0F"/>
    <w:rsid w:val="007851C1"/>
    <w:rsid w:val="007B462B"/>
    <w:rsid w:val="007B600E"/>
    <w:rsid w:val="007C0FC1"/>
    <w:rsid w:val="007C4A4E"/>
    <w:rsid w:val="007D53B3"/>
    <w:rsid w:val="007D5A1C"/>
    <w:rsid w:val="007D7D88"/>
    <w:rsid w:val="007E2E4B"/>
    <w:rsid w:val="007E6293"/>
    <w:rsid w:val="007F0F4A"/>
    <w:rsid w:val="008028A4"/>
    <w:rsid w:val="008038C2"/>
    <w:rsid w:val="00810E8D"/>
    <w:rsid w:val="00820B25"/>
    <w:rsid w:val="00820E0F"/>
    <w:rsid w:val="00821AEF"/>
    <w:rsid w:val="00826E3B"/>
    <w:rsid w:val="00830747"/>
    <w:rsid w:val="00833358"/>
    <w:rsid w:val="008340FF"/>
    <w:rsid w:val="008366FC"/>
    <w:rsid w:val="00841896"/>
    <w:rsid w:val="00843B15"/>
    <w:rsid w:val="008569D0"/>
    <w:rsid w:val="008768CA"/>
    <w:rsid w:val="008826B0"/>
    <w:rsid w:val="008A54F8"/>
    <w:rsid w:val="008C1634"/>
    <w:rsid w:val="008C384C"/>
    <w:rsid w:val="008D3F18"/>
    <w:rsid w:val="008D7FC7"/>
    <w:rsid w:val="008E7986"/>
    <w:rsid w:val="008F15A3"/>
    <w:rsid w:val="0090271F"/>
    <w:rsid w:val="00902E23"/>
    <w:rsid w:val="00910D9E"/>
    <w:rsid w:val="009114D7"/>
    <w:rsid w:val="009125EF"/>
    <w:rsid w:val="0091348E"/>
    <w:rsid w:val="00915D75"/>
    <w:rsid w:val="00917CCB"/>
    <w:rsid w:val="00924DAC"/>
    <w:rsid w:val="00926F97"/>
    <w:rsid w:val="00935B71"/>
    <w:rsid w:val="009426F4"/>
    <w:rsid w:val="00942EC2"/>
    <w:rsid w:val="009545A1"/>
    <w:rsid w:val="0098459B"/>
    <w:rsid w:val="009876B4"/>
    <w:rsid w:val="009A758A"/>
    <w:rsid w:val="009C2C1B"/>
    <w:rsid w:val="009C47B5"/>
    <w:rsid w:val="009E4AB1"/>
    <w:rsid w:val="009F237D"/>
    <w:rsid w:val="009F2F14"/>
    <w:rsid w:val="009F37B7"/>
    <w:rsid w:val="009F4887"/>
    <w:rsid w:val="009F5E43"/>
    <w:rsid w:val="00A03460"/>
    <w:rsid w:val="00A051F0"/>
    <w:rsid w:val="00A07446"/>
    <w:rsid w:val="00A10F02"/>
    <w:rsid w:val="00A164B4"/>
    <w:rsid w:val="00A22938"/>
    <w:rsid w:val="00A255D6"/>
    <w:rsid w:val="00A26956"/>
    <w:rsid w:val="00A33E80"/>
    <w:rsid w:val="00A37271"/>
    <w:rsid w:val="00A53724"/>
    <w:rsid w:val="00A5526E"/>
    <w:rsid w:val="00A73129"/>
    <w:rsid w:val="00A76978"/>
    <w:rsid w:val="00A82346"/>
    <w:rsid w:val="00A82D1F"/>
    <w:rsid w:val="00A8668F"/>
    <w:rsid w:val="00A92BA1"/>
    <w:rsid w:val="00AB7F3B"/>
    <w:rsid w:val="00AC135F"/>
    <w:rsid w:val="00AC54B7"/>
    <w:rsid w:val="00AC6BC6"/>
    <w:rsid w:val="00AD5DD7"/>
    <w:rsid w:val="00AE3797"/>
    <w:rsid w:val="00AF36D6"/>
    <w:rsid w:val="00AF4359"/>
    <w:rsid w:val="00AF4FE2"/>
    <w:rsid w:val="00AF5752"/>
    <w:rsid w:val="00B03FD0"/>
    <w:rsid w:val="00B06539"/>
    <w:rsid w:val="00B15449"/>
    <w:rsid w:val="00B16019"/>
    <w:rsid w:val="00B211C1"/>
    <w:rsid w:val="00B27217"/>
    <w:rsid w:val="00B27C15"/>
    <w:rsid w:val="00B32270"/>
    <w:rsid w:val="00B44E1F"/>
    <w:rsid w:val="00B60B51"/>
    <w:rsid w:val="00B61EEA"/>
    <w:rsid w:val="00B83171"/>
    <w:rsid w:val="00B838F7"/>
    <w:rsid w:val="00B913A1"/>
    <w:rsid w:val="00B93086"/>
    <w:rsid w:val="00BA19ED"/>
    <w:rsid w:val="00BA300B"/>
    <w:rsid w:val="00BA4B8D"/>
    <w:rsid w:val="00BA59E2"/>
    <w:rsid w:val="00BA7900"/>
    <w:rsid w:val="00BC0F7D"/>
    <w:rsid w:val="00BC4103"/>
    <w:rsid w:val="00BD3469"/>
    <w:rsid w:val="00BE2A72"/>
    <w:rsid w:val="00BE3255"/>
    <w:rsid w:val="00BE3B9C"/>
    <w:rsid w:val="00BF128E"/>
    <w:rsid w:val="00C02C5C"/>
    <w:rsid w:val="00C1496A"/>
    <w:rsid w:val="00C15F7F"/>
    <w:rsid w:val="00C2281E"/>
    <w:rsid w:val="00C24837"/>
    <w:rsid w:val="00C26810"/>
    <w:rsid w:val="00C33079"/>
    <w:rsid w:val="00C34DDA"/>
    <w:rsid w:val="00C45231"/>
    <w:rsid w:val="00C474D8"/>
    <w:rsid w:val="00C63D49"/>
    <w:rsid w:val="00C72833"/>
    <w:rsid w:val="00C80F1D"/>
    <w:rsid w:val="00C82158"/>
    <w:rsid w:val="00C83BD4"/>
    <w:rsid w:val="00C93F40"/>
    <w:rsid w:val="00C95679"/>
    <w:rsid w:val="00C9693D"/>
    <w:rsid w:val="00CA3D0C"/>
    <w:rsid w:val="00CB51CC"/>
    <w:rsid w:val="00CD0EA6"/>
    <w:rsid w:val="00CD45C9"/>
    <w:rsid w:val="00CE4C40"/>
    <w:rsid w:val="00CF20E3"/>
    <w:rsid w:val="00D008D3"/>
    <w:rsid w:val="00D04514"/>
    <w:rsid w:val="00D07C26"/>
    <w:rsid w:val="00D17573"/>
    <w:rsid w:val="00D3057E"/>
    <w:rsid w:val="00D309CC"/>
    <w:rsid w:val="00D46431"/>
    <w:rsid w:val="00D56A52"/>
    <w:rsid w:val="00D57972"/>
    <w:rsid w:val="00D675A9"/>
    <w:rsid w:val="00D738D6"/>
    <w:rsid w:val="00D755EB"/>
    <w:rsid w:val="00D820C4"/>
    <w:rsid w:val="00D83477"/>
    <w:rsid w:val="00D836CB"/>
    <w:rsid w:val="00D857BA"/>
    <w:rsid w:val="00D8640F"/>
    <w:rsid w:val="00D866D7"/>
    <w:rsid w:val="00D87497"/>
    <w:rsid w:val="00D877CA"/>
    <w:rsid w:val="00D87E00"/>
    <w:rsid w:val="00D9134D"/>
    <w:rsid w:val="00D970EA"/>
    <w:rsid w:val="00DA3814"/>
    <w:rsid w:val="00DA7A03"/>
    <w:rsid w:val="00DB1818"/>
    <w:rsid w:val="00DC309B"/>
    <w:rsid w:val="00DC4DA2"/>
    <w:rsid w:val="00DC7727"/>
    <w:rsid w:val="00DD03DF"/>
    <w:rsid w:val="00DD4C17"/>
    <w:rsid w:val="00DE676A"/>
    <w:rsid w:val="00DF2B1F"/>
    <w:rsid w:val="00DF6189"/>
    <w:rsid w:val="00DF62CD"/>
    <w:rsid w:val="00E00755"/>
    <w:rsid w:val="00E02E2B"/>
    <w:rsid w:val="00E068AE"/>
    <w:rsid w:val="00E144A6"/>
    <w:rsid w:val="00E16486"/>
    <w:rsid w:val="00E16509"/>
    <w:rsid w:val="00E22E04"/>
    <w:rsid w:val="00E44582"/>
    <w:rsid w:val="00E45E4A"/>
    <w:rsid w:val="00E51F8F"/>
    <w:rsid w:val="00E52814"/>
    <w:rsid w:val="00E5549F"/>
    <w:rsid w:val="00E72324"/>
    <w:rsid w:val="00E72ABE"/>
    <w:rsid w:val="00E77645"/>
    <w:rsid w:val="00E84530"/>
    <w:rsid w:val="00E87309"/>
    <w:rsid w:val="00E87A96"/>
    <w:rsid w:val="00EB22F4"/>
    <w:rsid w:val="00EC3517"/>
    <w:rsid w:val="00EC454E"/>
    <w:rsid w:val="00EC4A25"/>
    <w:rsid w:val="00ED2E9E"/>
    <w:rsid w:val="00EE2719"/>
    <w:rsid w:val="00EE5AA7"/>
    <w:rsid w:val="00EF433E"/>
    <w:rsid w:val="00EF4B21"/>
    <w:rsid w:val="00F025A2"/>
    <w:rsid w:val="00F04712"/>
    <w:rsid w:val="00F064C8"/>
    <w:rsid w:val="00F07B00"/>
    <w:rsid w:val="00F1639A"/>
    <w:rsid w:val="00F20DA5"/>
    <w:rsid w:val="00F21311"/>
    <w:rsid w:val="00F22EC7"/>
    <w:rsid w:val="00F3025B"/>
    <w:rsid w:val="00F325C8"/>
    <w:rsid w:val="00F3263B"/>
    <w:rsid w:val="00F33616"/>
    <w:rsid w:val="00F54C0C"/>
    <w:rsid w:val="00F62AEB"/>
    <w:rsid w:val="00F63841"/>
    <w:rsid w:val="00F653B8"/>
    <w:rsid w:val="00F70647"/>
    <w:rsid w:val="00FA1266"/>
    <w:rsid w:val="00FA65D0"/>
    <w:rsid w:val="00FC1192"/>
    <w:rsid w:val="00FC41AB"/>
    <w:rsid w:val="00FD1E6E"/>
    <w:rsid w:val="00FD3696"/>
    <w:rsid w:val="00FE2A7F"/>
    <w:rsid w:val="00FE59E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E5FF7617-A5BA-F345-8B5D-2E8F3F9513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34DDA"/>
    <w:rPr>
      <w:sz w:val="24"/>
      <w:szCs w:val="24"/>
      <w:lang w:val="en-US" w:eastAsia="zh-CN"/>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1"/>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HCar">
    <w:name w:val="TAH Car"/>
    <w:link w:val="TAH"/>
    <w:qFormat/>
    <w:rsid w:val="00924DAC"/>
    <w:rPr>
      <w:rFonts w:ascii="Arial" w:hAnsi="Arial"/>
      <w:b/>
      <w:sz w:val="18"/>
      <w:lang w:eastAsia="en-US"/>
    </w:rPr>
  </w:style>
  <w:style w:type="character" w:customStyle="1" w:styleId="TACChar">
    <w:name w:val="TAC Char"/>
    <w:link w:val="TAC"/>
    <w:qFormat/>
    <w:rsid w:val="00430001"/>
    <w:rPr>
      <w:rFonts w:ascii="Arial" w:hAnsi="Arial"/>
      <w:sz w:val="18"/>
      <w:lang w:eastAsia="en-US"/>
    </w:rPr>
  </w:style>
  <w:style w:type="character" w:customStyle="1" w:styleId="THChar">
    <w:name w:val="TH Char"/>
    <w:link w:val="TH"/>
    <w:qFormat/>
    <w:rsid w:val="00430001"/>
    <w:rPr>
      <w:rFonts w:ascii="Arial" w:hAnsi="Arial"/>
      <w:b/>
      <w:lang w:eastAsia="en-US"/>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910D9E"/>
    <w:pPr>
      <w:ind w:left="720"/>
      <w:contextualSpacing/>
    </w:pPr>
  </w:style>
  <w:style w:type="character" w:customStyle="1" w:styleId="apple-converted-space">
    <w:name w:val="apple-converted-space"/>
    <w:basedOn w:val="DefaultParagraphFont"/>
    <w:rsid w:val="00300BA9"/>
  </w:style>
  <w:style w:type="character" w:styleId="CommentReference">
    <w:name w:val="annotation reference"/>
    <w:basedOn w:val="DefaultParagraphFont"/>
    <w:rsid w:val="00542052"/>
    <w:rPr>
      <w:sz w:val="16"/>
      <w:szCs w:val="16"/>
    </w:rPr>
  </w:style>
  <w:style w:type="paragraph" w:styleId="CommentText">
    <w:name w:val="annotation text"/>
    <w:basedOn w:val="Normal"/>
    <w:link w:val="CommentTextChar"/>
    <w:rsid w:val="00542052"/>
    <w:rPr>
      <w:sz w:val="20"/>
      <w:szCs w:val="20"/>
    </w:rPr>
  </w:style>
  <w:style w:type="character" w:customStyle="1" w:styleId="CommentTextChar">
    <w:name w:val="Comment Text Char"/>
    <w:basedOn w:val="DefaultParagraphFont"/>
    <w:link w:val="CommentText"/>
    <w:rsid w:val="00542052"/>
    <w:rPr>
      <w:lang w:val="en-US" w:eastAsia="zh-CN"/>
    </w:rPr>
  </w:style>
  <w:style w:type="paragraph" w:styleId="CommentSubject">
    <w:name w:val="annotation subject"/>
    <w:basedOn w:val="CommentText"/>
    <w:next w:val="CommentText"/>
    <w:link w:val="CommentSubjectChar"/>
    <w:rsid w:val="00542052"/>
    <w:rPr>
      <w:b/>
      <w:bCs/>
    </w:rPr>
  </w:style>
  <w:style w:type="character" w:customStyle="1" w:styleId="CommentSubjectChar">
    <w:name w:val="Comment Subject Char"/>
    <w:basedOn w:val="CommentTextChar"/>
    <w:link w:val="CommentSubject"/>
    <w:rsid w:val="00542052"/>
    <w:rPr>
      <w:b/>
      <w:bCs/>
      <w:lang w:val="en-US" w:eastAsia="zh-CN"/>
    </w:rPr>
  </w:style>
  <w:style w:type="character" w:customStyle="1" w:styleId="B1Char1">
    <w:name w:val="B1 Char1"/>
    <w:link w:val="B1"/>
    <w:locked/>
    <w:rsid w:val="00E22E04"/>
    <w:rPr>
      <w:sz w:val="24"/>
      <w:szCs w:val="24"/>
      <w:lang w:val="en-US" w:eastAsia="zh-CN"/>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rsid w:val="006F71F4"/>
    <w:rPr>
      <w:sz w:val="24"/>
      <w:szCs w:val="24"/>
      <w:lang w:val="en-US" w:eastAsia="zh-CN"/>
    </w:rPr>
  </w:style>
  <w:style w:type="character" w:customStyle="1" w:styleId="CRCoverPageChar">
    <w:name w:val="CR Cover Page Char"/>
    <w:link w:val="CRCoverPage"/>
    <w:locked/>
    <w:rsid w:val="00C82158"/>
    <w:rPr>
      <w:rFonts w:ascii="Arial" w:hAnsi="Arial" w:cs="Arial"/>
      <w:lang w:eastAsia="en-US"/>
    </w:rPr>
  </w:style>
  <w:style w:type="paragraph" w:customStyle="1" w:styleId="CRCoverPage">
    <w:name w:val="CR Cover Page"/>
    <w:next w:val="Normal"/>
    <w:link w:val="CRCoverPageChar"/>
    <w:rsid w:val="00C82158"/>
    <w:pPr>
      <w:spacing w:after="120"/>
    </w:pPr>
    <w:rPr>
      <w:rFonts w:ascii="Arial" w:hAnsi="Arial" w:cs="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050347">
      <w:bodyDiv w:val="1"/>
      <w:marLeft w:val="0"/>
      <w:marRight w:val="0"/>
      <w:marTop w:val="0"/>
      <w:marBottom w:val="0"/>
      <w:divBdr>
        <w:top w:val="none" w:sz="0" w:space="0" w:color="auto"/>
        <w:left w:val="none" w:sz="0" w:space="0" w:color="auto"/>
        <w:bottom w:val="none" w:sz="0" w:space="0" w:color="auto"/>
        <w:right w:val="none" w:sz="0" w:space="0" w:color="auto"/>
      </w:divBdr>
    </w:div>
    <w:div w:id="261108291">
      <w:bodyDiv w:val="1"/>
      <w:marLeft w:val="0"/>
      <w:marRight w:val="0"/>
      <w:marTop w:val="0"/>
      <w:marBottom w:val="0"/>
      <w:divBdr>
        <w:top w:val="none" w:sz="0" w:space="0" w:color="auto"/>
        <w:left w:val="none" w:sz="0" w:space="0" w:color="auto"/>
        <w:bottom w:val="none" w:sz="0" w:space="0" w:color="auto"/>
        <w:right w:val="none" w:sz="0" w:space="0" w:color="auto"/>
      </w:divBdr>
    </w:div>
    <w:div w:id="488131283">
      <w:bodyDiv w:val="1"/>
      <w:marLeft w:val="0"/>
      <w:marRight w:val="0"/>
      <w:marTop w:val="0"/>
      <w:marBottom w:val="0"/>
      <w:divBdr>
        <w:top w:val="none" w:sz="0" w:space="0" w:color="auto"/>
        <w:left w:val="none" w:sz="0" w:space="0" w:color="auto"/>
        <w:bottom w:val="none" w:sz="0" w:space="0" w:color="auto"/>
        <w:right w:val="none" w:sz="0" w:space="0" w:color="auto"/>
      </w:divBdr>
      <w:divsChild>
        <w:div w:id="251860231">
          <w:marLeft w:val="0"/>
          <w:marRight w:val="0"/>
          <w:marTop w:val="0"/>
          <w:marBottom w:val="0"/>
          <w:divBdr>
            <w:top w:val="none" w:sz="0" w:space="0" w:color="auto"/>
            <w:left w:val="none" w:sz="0" w:space="0" w:color="auto"/>
            <w:bottom w:val="none" w:sz="0" w:space="0" w:color="auto"/>
            <w:right w:val="none" w:sz="0" w:space="0" w:color="auto"/>
          </w:divBdr>
        </w:div>
        <w:div w:id="304744085">
          <w:marLeft w:val="0"/>
          <w:marRight w:val="0"/>
          <w:marTop w:val="0"/>
          <w:marBottom w:val="0"/>
          <w:divBdr>
            <w:top w:val="none" w:sz="0" w:space="0" w:color="auto"/>
            <w:left w:val="none" w:sz="0" w:space="0" w:color="auto"/>
            <w:bottom w:val="none" w:sz="0" w:space="0" w:color="auto"/>
            <w:right w:val="none" w:sz="0" w:space="0" w:color="auto"/>
          </w:divBdr>
        </w:div>
        <w:div w:id="849291641">
          <w:marLeft w:val="0"/>
          <w:marRight w:val="0"/>
          <w:marTop w:val="0"/>
          <w:marBottom w:val="0"/>
          <w:divBdr>
            <w:top w:val="none" w:sz="0" w:space="0" w:color="auto"/>
            <w:left w:val="none" w:sz="0" w:space="0" w:color="auto"/>
            <w:bottom w:val="none" w:sz="0" w:space="0" w:color="auto"/>
            <w:right w:val="none" w:sz="0" w:space="0" w:color="auto"/>
          </w:divBdr>
        </w:div>
        <w:div w:id="1429538620">
          <w:marLeft w:val="0"/>
          <w:marRight w:val="0"/>
          <w:marTop w:val="0"/>
          <w:marBottom w:val="0"/>
          <w:divBdr>
            <w:top w:val="none" w:sz="0" w:space="0" w:color="auto"/>
            <w:left w:val="none" w:sz="0" w:space="0" w:color="auto"/>
            <w:bottom w:val="none" w:sz="0" w:space="0" w:color="auto"/>
            <w:right w:val="none" w:sz="0" w:space="0" w:color="auto"/>
          </w:divBdr>
        </w:div>
      </w:divsChild>
    </w:div>
    <w:div w:id="647708612">
      <w:bodyDiv w:val="1"/>
      <w:marLeft w:val="0"/>
      <w:marRight w:val="0"/>
      <w:marTop w:val="0"/>
      <w:marBottom w:val="0"/>
      <w:divBdr>
        <w:top w:val="none" w:sz="0" w:space="0" w:color="auto"/>
        <w:left w:val="none" w:sz="0" w:space="0" w:color="auto"/>
        <w:bottom w:val="none" w:sz="0" w:space="0" w:color="auto"/>
        <w:right w:val="none" w:sz="0" w:space="0" w:color="auto"/>
      </w:divBdr>
      <w:divsChild>
        <w:div w:id="13263982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75440263">
              <w:marLeft w:val="0"/>
              <w:marRight w:val="0"/>
              <w:marTop w:val="0"/>
              <w:marBottom w:val="0"/>
              <w:divBdr>
                <w:top w:val="none" w:sz="0" w:space="0" w:color="auto"/>
                <w:left w:val="none" w:sz="0" w:space="0" w:color="auto"/>
                <w:bottom w:val="none" w:sz="0" w:space="0" w:color="auto"/>
                <w:right w:val="none" w:sz="0" w:space="0" w:color="auto"/>
              </w:divBdr>
              <w:divsChild>
                <w:div w:id="463550557">
                  <w:marLeft w:val="0"/>
                  <w:marRight w:val="0"/>
                  <w:marTop w:val="0"/>
                  <w:marBottom w:val="0"/>
                  <w:divBdr>
                    <w:top w:val="none" w:sz="0" w:space="0" w:color="auto"/>
                    <w:left w:val="none" w:sz="0" w:space="0" w:color="auto"/>
                    <w:bottom w:val="none" w:sz="0" w:space="0" w:color="auto"/>
                    <w:right w:val="none" w:sz="0" w:space="0" w:color="auto"/>
                  </w:divBdr>
                  <w:divsChild>
                    <w:div w:id="968364190">
                      <w:marLeft w:val="0"/>
                      <w:marRight w:val="0"/>
                      <w:marTop w:val="0"/>
                      <w:marBottom w:val="0"/>
                      <w:divBdr>
                        <w:top w:val="none" w:sz="0" w:space="0" w:color="auto"/>
                        <w:left w:val="none" w:sz="0" w:space="0" w:color="auto"/>
                        <w:bottom w:val="none" w:sz="0" w:space="0" w:color="auto"/>
                        <w:right w:val="none" w:sz="0" w:space="0" w:color="auto"/>
                      </w:divBdr>
                      <w:divsChild>
                        <w:div w:id="763305344">
                          <w:marLeft w:val="0"/>
                          <w:marRight w:val="0"/>
                          <w:marTop w:val="0"/>
                          <w:marBottom w:val="0"/>
                          <w:divBdr>
                            <w:top w:val="none" w:sz="0" w:space="0" w:color="auto"/>
                            <w:left w:val="none" w:sz="0" w:space="0" w:color="auto"/>
                            <w:bottom w:val="none" w:sz="0" w:space="0" w:color="auto"/>
                            <w:right w:val="none" w:sz="0" w:space="0" w:color="auto"/>
                          </w:divBdr>
                          <w:divsChild>
                            <w:div w:id="7775226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89084475">
                                  <w:marLeft w:val="0"/>
                                  <w:marRight w:val="0"/>
                                  <w:marTop w:val="0"/>
                                  <w:marBottom w:val="0"/>
                                  <w:divBdr>
                                    <w:top w:val="none" w:sz="0" w:space="0" w:color="auto"/>
                                    <w:left w:val="none" w:sz="0" w:space="0" w:color="auto"/>
                                    <w:bottom w:val="none" w:sz="0" w:space="0" w:color="auto"/>
                                    <w:right w:val="none" w:sz="0" w:space="0" w:color="auto"/>
                                  </w:divBdr>
                                  <w:divsChild>
                                    <w:div w:id="584456131">
                                      <w:marLeft w:val="0"/>
                                      <w:marRight w:val="0"/>
                                      <w:marTop w:val="0"/>
                                      <w:marBottom w:val="0"/>
                                      <w:divBdr>
                                        <w:top w:val="none" w:sz="0" w:space="0" w:color="auto"/>
                                        <w:left w:val="none" w:sz="0" w:space="0" w:color="auto"/>
                                        <w:bottom w:val="none" w:sz="0" w:space="0" w:color="auto"/>
                                        <w:right w:val="none" w:sz="0" w:space="0" w:color="auto"/>
                                      </w:divBdr>
                                      <w:divsChild>
                                        <w:div w:id="554118959">
                                          <w:marLeft w:val="0"/>
                                          <w:marRight w:val="0"/>
                                          <w:marTop w:val="0"/>
                                          <w:marBottom w:val="0"/>
                                          <w:divBdr>
                                            <w:top w:val="none" w:sz="0" w:space="0" w:color="auto"/>
                                            <w:left w:val="none" w:sz="0" w:space="0" w:color="auto"/>
                                            <w:bottom w:val="none" w:sz="0" w:space="0" w:color="auto"/>
                                            <w:right w:val="none" w:sz="0" w:space="0" w:color="auto"/>
                                          </w:divBdr>
                                          <w:divsChild>
                                            <w:div w:id="105278682">
                                              <w:marLeft w:val="0"/>
                                              <w:marRight w:val="0"/>
                                              <w:marTop w:val="0"/>
                                              <w:marBottom w:val="0"/>
                                              <w:divBdr>
                                                <w:top w:val="none" w:sz="0" w:space="0" w:color="auto"/>
                                                <w:left w:val="none" w:sz="0" w:space="0" w:color="auto"/>
                                                <w:bottom w:val="none" w:sz="0" w:space="0" w:color="auto"/>
                                                <w:right w:val="none" w:sz="0" w:space="0" w:color="auto"/>
                                              </w:divBdr>
                                              <w:divsChild>
                                                <w:div w:id="104709971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76821490">
                                                      <w:marLeft w:val="0"/>
                                                      <w:marRight w:val="0"/>
                                                      <w:marTop w:val="0"/>
                                                      <w:marBottom w:val="0"/>
                                                      <w:divBdr>
                                                        <w:top w:val="none" w:sz="0" w:space="0" w:color="auto"/>
                                                        <w:left w:val="none" w:sz="0" w:space="0" w:color="auto"/>
                                                        <w:bottom w:val="none" w:sz="0" w:space="0" w:color="auto"/>
                                                        <w:right w:val="none" w:sz="0" w:space="0" w:color="auto"/>
                                                      </w:divBdr>
                                                      <w:divsChild>
                                                        <w:div w:id="292911204">
                                                          <w:marLeft w:val="0"/>
                                                          <w:marRight w:val="0"/>
                                                          <w:marTop w:val="0"/>
                                                          <w:marBottom w:val="0"/>
                                                          <w:divBdr>
                                                            <w:top w:val="none" w:sz="0" w:space="0" w:color="auto"/>
                                                            <w:left w:val="none" w:sz="0" w:space="0" w:color="auto"/>
                                                            <w:bottom w:val="none" w:sz="0" w:space="0" w:color="auto"/>
                                                            <w:right w:val="none" w:sz="0" w:space="0" w:color="auto"/>
                                                          </w:divBdr>
                                                          <w:divsChild>
                                                            <w:div w:id="1928541231">
                                                              <w:marLeft w:val="0"/>
                                                              <w:marRight w:val="0"/>
                                                              <w:marTop w:val="0"/>
                                                              <w:marBottom w:val="0"/>
                                                              <w:divBdr>
                                                                <w:top w:val="none" w:sz="0" w:space="0" w:color="auto"/>
                                                                <w:left w:val="none" w:sz="0" w:space="0" w:color="auto"/>
                                                                <w:bottom w:val="none" w:sz="0" w:space="0" w:color="auto"/>
                                                                <w:right w:val="none" w:sz="0" w:space="0" w:color="auto"/>
                                                              </w:divBdr>
                                                              <w:divsChild>
                                                                <w:div w:id="1241864238">
                                                                  <w:marLeft w:val="0"/>
                                                                  <w:marRight w:val="0"/>
                                                                  <w:marTop w:val="0"/>
                                                                  <w:marBottom w:val="0"/>
                                                                  <w:divBdr>
                                                                    <w:top w:val="none" w:sz="0" w:space="0" w:color="auto"/>
                                                                    <w:left w:val="none" w:sz="0" w:space="0" w:color="auto"/>
                                                                    <w:bottom w:val="none" w:sz="0" w:space="0" w:color="auto"/>
                                                                    <w:right w:val="none" w:sz="0" w:space="0" w:color="auto"/>
                                                                  </w:divBdr>
                                                                  <w:divsChild>
                                                                    <w:div w:id="2111192157">
                                                                      <w:marLeft w:val="0"/>
                                                                      <w:marRight w:val="0"/>
                                                                      <w:marTop w:val="0"/>
                                                                      <w:marBottom w:val="0"/>
                                                                      <w:divBdr>
                                                                        <w:top w:val="none" w:sz="0" w:space="0" w:color="auto"/>
                                                                        <w:left w:val="none" w:sz="0" w:space="0" w:color="auto"/>
                                                                        <w:bottom w:val="none" w:sz="0" w:space="0" w:color="auto"/>
                                                                        <w:right w:val="none" w:sz="0" w:space="0" w:color="auto"/>
                                                                      </w:divBdr>
                                                                      <w:divsChild>
                                                                        <w:div w:id="48558683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1888098">
                                                                              <w:marLeft w:val="0"/>
                                                                              <w:marRight w:val="0"/>
                                                                              <w:marTop w:val="0"/>
                                                                              <w:marBottom w:val="0"/>
                                                                              <w:divBdr>
                                                                                <w:top w:val="none" w:sz="0" w:space="0" w:color="auto"/>
                                                                                <w:left w:val="none" w:sz="0" w:space="0" w:color="auto"/>
                                                                                <w:bottom w:val="none" w:sz="0" w:space="0" w:color="auto"/>
                                                                                <w:right w:val="none" w:sz="0" w:space="0" w:color="auto"/>
                                                                              </w:divBdr>
                                                                              <w:divsChild>
                                                                                <w:div w:id="167447495">
                                                                                  <w:marLeft w:val="0"/>
                                                                                  <w:marRight w:val="0"/>
                                                                                  <w:marTop w:val="0"/>
                                                                                  <w:marBottom w:val="0"/>
                                                                                  <w:divBdr>
                                                                                    <w:top w:val="none" w:sz="0" w:space="0" w:color="auto"/>
                                                                                    <w:left w:val="none" w:sz="0" w:space="0" w:color="auto"/>
                                                                                    <w:bottom w:val="none" w:sz="0" w:space="0" w:color="auto"/>
                                                                                    <w:right w:val="none" w:sz="0" w:space="0" w:color="auto"/>
                                                                                  </w:divBdr>
                                                                                  <w:divsChild>
                                                                                    <w:div w:id="1780761365">
                                                                                      <w:marLeft w:val="0"/>
                                                                                      <w:marRight w:val="0"/>
                                                                                      <w:marTop w:val="0"/>
                                                                                      <w:marBottom w:val="0"/>
                                                                                      <w:divBdr>
                                                                                        <w:top w:val="none" w:sz="0" w:space="0" w:color="auto"/>
                                                                                        <w:left w:val="none" w:sz="0" w:space="0" w:color="auto"/>
                                                                                        <w:bottom w:val="none" w:sz="0" w:space="0" w:color="auto"/>
                                                                                        <w:right w:val="none" w:sz="0" w:space="0" w:color="auto"/>
                                                                                      </w:divBdr>
                                                                                      <w:divsChild>
                                                                                        <w:div w:id="236214885">
                                                                                          <w:marLeft w:val="0"/>
                                                                                          <w:marRight w:val="0"/>
                                                                                          <w:marTop w:val="0"/>
                                                                                          <w:marBottom w:val="0"/>
                                                                                          <w:divBdr>
                                                                                            <w:top w:val="none" w:sz="0" w:space="0" w:color="auto"/>
                                                                                            <w:left w:val="none" w:sz="0" w:space="0" w:color="auto"/>
                                                                                            <w:bottom w:val="none" w:sz="0" w:space="0" w:color="auto"/>
                                                                                            <w:right w:val="none" w:sz="0" w:space="0" w:color="auto"/>
                                                                                          </w:divBdr>
                                                                                          <w:divsChild>
                                                                                            <w:div w:id="150019179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594969823">
                                                                                                  <w:marLeft w:val="0"/>
                                                                                                  <w:marRight w:val="0"/>
                                                                                                  <w:marTop w:val="0"/>
                                                                                                  <w:marBottom w:val="0"/>
                                                                                                  <w:divBdr>
                                                                                                    <w:top w:val="none" w:sz="0" w:space="0" w:color="auto"/>
                                                                                                    <w:left w:val="none" w:sz="0" w:space="0" w:color="auto"/>
                                                                                                    <w:bottom w:val="none" w:sz="0" w:space="0" w:color="auto"/>
                                                                                                    <w:right w:val="none" w:sz="0" w:space="0" w:color="auto"/>
                                                                                                  </w:divBdr>
                                                                                                  <w:divsChild>
                                                                                                    <w:div w:id="460853618">
                                                                                                      <w:marLeft w:val="0"/>
                                                                                                      <w:marRight w:val="0"/>
                                                                                                      <w:marTop w:val="0"/>
                                                                                                      <w:marBottom w:val="0"/>
                                                                                                      <w:divBdr>
                                                                                                        <w:top w:val="none" w:sz="0" w:space="0" w:color="auto"/>
                                                                                                        <w:left w:val="none" w:sz="0" w:space="0" w:color="auto"/>
                                                                                                        <w:bottom w:val="none" w:sz="0" w:space="0" w:color="auto"/>
                                                                                                        <w:right w:val="none" w:sz="0" w:space="0" w:color="auto"/>
                                                                                                      </w:divBdr>
                                                                                                      <w:divsChild>
                                                                                                        <w:div w:id="1351029235">
                                                                                                          <w:marLeft w:val="0"/>
                                                                                                          <w:marRight w:val="0"/>
                                                                                                          <w:marTop w:val="0"/>
                                                                                                          <w:marBottom w:val="0"/>
                                                                                                          <w:divBdr>
                                                                                                            <w:top w:val="none" w:sz="0" w:space="0" w:color="auto"/>
                                                                                                            <w:left w:val="none" w:sz="0" w:space="0" w:color="auto"/>
                                                                                                            <w:bottom w:val="none" w:sz="0" w:space="0" w:color="auto"/>
                                                                                                            <w:right w:val="none" w:sz="0" w:space="0" w:color="auto"/>
                                                                                                          </w:divBdr>
                                                                                                          <w:divsChild>
                                                                                                            <w:div w:id="57752113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53137866">
                                                                                                                  <w:marLeft w:val="0"/>
                                                                                                                  <w:marRight w:val="0"/>
                                                                                                                  <w:marTop w:val="0"/>
                                                                                                                  <w:marBottom w:val="0"/>
                                                                                                                  <w:divBdr>
                                                                                                                    <w:top w:val="none" w:sz="0" w:space="0" w:color="auto"/>
                                                                                                                    <w:left w:val="none" w:sz="0" w:space="0" w:color="auto"/>
                                                                                                                    <w:bottom w:val="none" w:sz="0" w:space="0" w:color="auto"/>
                                                                                                                    <w:right w:val="none" w:sz="0" w:space="0" w:color="auto"/>
                                                                                                                  </w:divBdr>
                                                                                                                  <w:divsChild>
                                                                                                                    <w:div w:id="648557187">
                                                                                                                      <w:marLeft w:val="0"/>
                                                                                                                      <w:marRight w:val="0"/>
                                                                                                                      <w:marTop w:val="0"/>
                                                                                                                      <w:marBottom w:val="0"/>
                                                                                                                      <w:divBdr>
                                                                                                                        <w:top w:val="none" w:sz="0" w:space="0" w:color="auto"/>
                                                                                                                        <w:left w:val="none" w:sz="0" w:space="0" w:color="auto"/>
                                                                                                                        <w:bottom w:val="none" w:sz="0" w:space="0" w:color="auto"/>
                                                                                                                        <w:right w:val="none" w:sz="0" w:space="0" w:color="auto"/>
                                                                                                                      </w:divBdr>
                                                                                                                    </w:div>
                                                                                                                    <w:div w:id="705181224">
                                                                                                                      <w:marLeft w:val="0"/>
                                                                                                                      <w:marRight w:val="0"/>
                                                                                                                      <w:marTop w:val="0"/>
                                                                                                                      <w:marBottom w:val="0"/>
                                                                                                                      <w:divBdr>
                                                                                                                        <w:top w:val="none" w:sz="0" w:space="0" w:color="auto"/>
                                                                                                                        <w:left w:val="none" w:sz="0" w:space="0" w:color="auto"/>
                                                                                                                        <w:bottom w:val="none" w:sz="0" w:space="0" w:color="auto"/>
                                                                                                                        <w:right w:val="none" w:sz="0" w:space="0" w:color="auto"/>
                                                                                                                      </w:divBdr>
                                                                                                                    </w:div>
                                                                                                                    <w:div w:id="981427756">
                                                                                                                      <w:marLeft w:val="0"/>
                                                                                                                      <w:marRight w:val="0"/>
                                                                                                                      <w:marTop w:val="0"/>
                                                                                                                      <w:marBottom w:val="0"/>
                                                                                                                      <w:divBdr>
                                                                                                                        <w:top w:val="none" w:sz="0" w:space="0" w:color="auto"/>
                                                                                                                        <w:left w:val="none" w:sz="0" w:space="0" w:color="auto"/>
                                                                                                                        <w:bottom w:val="none" w:sz="0" w:space="0" w:color="auto"/>
                                                                                                                        <w:right w:val="none" w:sz="0" w:space="0" w:color="auto"/>
                                                                                                                      </w:divBdr>
                                                                                                                    </w:div>
                                                                                                                    <w:div w:id="1767996403">
                                                                                                                      <w:marLeft w:val="0"/>
                                                                                                                      <w:marRight w:val="0"/>
                                                                                                                      <w:marTop w:val="0"/>
                                                                                                                      <w:marBottom w:val="0"/>
                                                                                                                      <w:divBdr>
                                                                                                                        <w:top w:val="none" w:sz="0" w:space="0" w:color="auto"/>
                                                                                                                        <w:left w:val="none" w:sz="0" w:space="0" w:color="auto"/>
                                                                                                                        <w:bottom w:val="none" w:sz="0" w:space="0" w:color="auto"/>
                                                                                                                        <w:right w:val="none" w:sz="0" w:space="0" w:color="auto"/>
                                                                                                                      </w:divBdr>
                                                                                                                    </w:div>
                                                                                                                    <w:div w:id="1920216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689337656">
      <w:bodyDiv w:val="1"/>
      <w:marLeft w:val="0"/>
      <w:marRight w:val="0"/>
      <w:marTop w:val="0"/>
      <w:marBottom w:val="0"/>
      <w:divBdr>
        <w:top w:val="none" w:sz="0" w:space="0" w:color="auto"/>
        <w:left w:val="none" w:sz="0" w:space="0" w:color="auto"/>
        <w:bottom w:val="none" w:sz="0" w:space="0" w:color="auto"/>
        <w:right w:val="none" w:sz="0" w:space="0" w:color="auto"/>
      </w:divBdr>
    </w:div>
    <w:div w:id="1160730261">
      <w:bodyDiv w:val="1"/>
      <w:marLeft w:val="0"/>
      <w:marRight w:val="0"/>
      <w:marTop w:val="0"/>
      <w:marBottom w:val="0"/>
      <w:divBdr>
        <w:top w:val="none" w:sz="0" w:space="0" w:color="auto"/>
        <w:left w:val="none" w:sz="0" w:space="0" w:color="auto"/>
        <w:bottom w:val="none" w:sz="0" w:space="0" w:color="auto"/>
        <w:right w:val="none" w:sz="0" w:space="0" w:color="auto"/>
      </w:divBdr>
    </w:div>
    <w:div w:id="1228414319">
      <w:bodyDiv w:val="1"/>
      <w:marLeft w:val="0"/>
      <w:marRight w:val="0"/>
      <w:marTop w:val="0"/>
      <w:marBottom w:val="0"/>
      <w:divBdr>
        <w:top w:val="none" w:sz="0" w:space="0" w:color="auto"/>
        <w:left w:val="none" w:sz="0" w:space="0" w:color="auto"/>
        <w:bottom w:val="none" w:sz="0" w:space="0" w:color="auto"/>
        <w:right w:val="none" w:sz="0" w:space="0" w:color="auto"/>
      </w:divBdr>
    </w:div>
    <w:div w:id="1358895108">
      <w:bodyDiv w:val="1"/>
      <w:marLeft w:val="0"/>
      <w:marRight w:val="0"/>
      <w:marTop w:val="0"/>
      <w:marBottom w:val="0"/>
      <w:divBdr>
        <w:top w:val="none" w:sz="0" w:space="0" w:color="auto"/>
        <w:left w:val="none" w:sz="0" w:space="0" w:color="auto"/>
        <w:bottom w:val="none" w:sz="0" w:space="0" w:color="auto"/>
        <w:right w:val="none" w:sz="0" w:space="0" w:color="auto"/>
      </w:divBdr>
      <w:divsChild>
        <w:div w:id="17006919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02064132">
              <w:marLeft w:val="0"/>
              <w:marRight w:val="0"/>
              <w:marTop w:val="0"/>
              <w:marBottom w:val="0"/>
              <w:divBdr>
                <w:top w:val="none" w:sz="0" w:space="0" w:color="auto"/>
                <w:left w:val="none" w:sz="0" w:space="0" w:color="auto"/>
                <w:bottom w:val="none" w:sz="0" w:space="0" w:color="auto"/>
                <w:right w:val="none" w:sz="0" w:space="0" w:color="auto"/>
              </w:divBdr>
              <w:divsChild>
                <w:div w:id="715085161">
                  <w:marLeft w:val="0"/>
                  <w:marRight w:val="0"/>
                  <w:marTop w:val="0"/>
                  <w:marBottom w:val="0"/>
                  <w:divBdr>
                    <w:top w:val="none" w:sz="0" w:space="0" w:color="auto"/>
                    <w:left w:val="none" w:sz="0" w:space="0" w:color="auto"/>
                    <w:bottom w:val="none" w:sz="0" w:space="0" w:color="auto"/>
                    <w:right w:val="none" w:sz="0" w:space="0" w:color="auto"/>
                  </w:divBdr>
                  <w:divsChild>
                    <w:div w:id="426049660">
                      <w:marLeft w:val="0"/>
                      <w:marRight w:val="0"/>
                      <w:marTop w:val="0"/>
                      <w:marBottom w:val="0"/>
                      <w:divBdr>
                        <w:top w:val="none" w:sz="0" w:space="0" w:color="auto"/>
                        <w:left w:val="none" w:sz="0" w:space="0" w:color="auto"/>
                        <w:bottom w:val="none" w:sz="0" w:space="0" w:color="auto"/>
                        <w:right w:val="none" w:sz="0" w:space="0" w:color="auto"/>
                      </w:divBdr>
                      <w:divsChild>
                        <w:div w:id="13630495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98404381">
      <w:bodyDiv w:val="1"/>
      <w:marLeft w:val="0"/>
      <w:marRight w:val="0"/>
      <w:marTop w:val="0"/>
      <w:marBottom w:val="0"/>
      <w:divBdr>
        <w:top w:val="none" w:sz="0" w:space="0" w:color="auto"/>
        <w:left w:val="none" w:sz="0" w:space="0" w:color="auto"/>
        <w:bottom w:val="none" w:sz="0" w:space="0" w:color="auto"/>
        <w:right w:val="none" w:sz="0" w:space="0" w:color="auto"/>
      </w:divBdr>
      <w:divsChild>
        <w:div w:id="76087815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130079162">
              <w:marLeft w:val="0"/>
              <w:marRight w:val="0"/>
              <w:marTop w:val="0"/>
              <w:marBottom w:val="0"/>
              <w:divBdr>
                <w:top w:val="none" w:sz="0" w:space="0" w:color="auto"/>
                <w:left w:val="none" w:sz="0" w:space="0" w:color="auto"/>
                <w:bottom w:val="none" w:sz="0" w:space="0" w:color="auto"/>
                <w:right w:val="none" w:sz="0" w:space="0" w:color="auto"/>
              </w:divBdr>
              <w:divsChild>
                <w:div w:id="1609072529">
                  <w:marLeft w:val="0"/>
                  <w:marRight w:val="0"/>
                  <w:marTop w:val="0"/>
                  <w:marBottom w:val="0"/>
                  <w:divBdr>
                    <w:top w:val="none" w:sz="0" w:space="0" w:color="auto"/>
                    <w:left w:val="none" w:sz="0" w:space="0" w:color="auto"/>
                    <w:bottom w:val="none" w:sz="0" w:space="0" w:color="auto"/>
                    <w:right w:val="none" w:sz="0" w:space="0" w:color="auto"/>
                  </w:divBdr>
                  <w:divsChild>
                    <w:div w:id="500582661">
                      <w:marLeft w:val="0"/>
                      <w:marRight w:val="0"/>
                      <w:marTop w:val="0"/>
                      <w:marBottom w:val="0"/>
                      <w:divBdr>
                        <w:top w:val="none" w:sz="0" w:space="0" w:color="auto"/>
                        <w:left w:val="none" w:sz="0" w:space="0" w:color="auto"/>
                        <w:bottom w:val="none" w:sz="0" w:space="0" w:color="auto"/>
                        <w:right w:val="none" w:sz="0" w:space="0" w:color="auto"/>
                      </w:divBdr>
                      <w:divsChild>
                        <w:div w:id="1098021507">
                          <w:marLeft w:val="0"/>
                          <w:marRight w:val="0"/>
                          <w:marTop w:val="0"/>
                          <w:marBottom w:val="0"/>
                          <w:divBdr>
                            <w:top w:val="none" w:sz="0" w:space="0" w:color="auto"/>
                            <w:left w:val="none" w:sz="0" w:space="0" w:color="auto"/>
                            <w:bottom w:val="none" w:sz="0" w:space="0" w:color="auto"/>
                            <w:right w:val="none" w:sz="0" w:space="0" w:color="auto"/>
                          </w:divBdr>
                          <w:divsChild>
                            <w:div w:id="15775930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2404278">
                                  <w:marLeft w:val="0"/>
                                  <w:marRight w:val="0"/>
                                  <w:marTop w:val="0"/>
                                  <w:marBottom w:val="0"/>
                                  <w:divBdr>
                                    <w:top w:val="none" w:sz="0" w:space="0" w:color="auto"/>
                                    <w:left w:val="none" w:sz="0" w:space="0" w:color="auto"/>
                                    <w:bottom w:val="none" w:sz="0" w:space="0" w:color="auto"/>
                                    <w:right w:val="none" w:sz="0" w:space="0" w:color="auto"/>
                                  </w:divBdr>
                                  <w:divsChild>
                                    <w:div w:id="393747036">
                                      <w:marLeft w:val="0"/>
                                      <w:marRight w:val="0"/>
                                      <w:marTop w:val="0"/>
                                      <w:marBottom w:val="0"/>
                                      <w:divBdr>
                                        <w:top w:val="none" w:sz="0" w:space="0" w:color="auto"/>
                                        <w:left w:val="none" w:sz="0" w:space="0" w:color="auto"/>
                                        <w:bottom w:val="none" w:sz="0" w:space="0" w:color="auto"/>
                                        <w:right w:val="none" w:sz="0" w:space="0" w:color="auto"/>
                                      </w:divBdr>
                                      <w:divsChild>
                                        <w:div w:id="978876592">
                                          <w:marLeft w:val="0"/>
                                          <w:marRight w:val="0"/>
                                          <w:marTop w:val="0"/>
                                          <w:marBottom w:val="0"/>
                                          <w:divBdr>
                                            <w:top w:val="none" w:sz="0" w:space="0" w:color="auto"/>
                                            <w:left w:val="none" w:sz="0" w:space="0" w:color="auto"/>
                                            <w:bottom w:val="none" w:sz="0" w:space="0" w:color="auto"/>
                                            <w:right w:val="none" w:sz="0" w:space="0" w:color="auto"/>
                                          </w:divBdr>
                                          <w:divsChild>
                                            <w:div w:id="940528037">
                                              <w:marLeft w:val="0"/>
                                              <w:marRight w:val="0"/>
                                              <w:marTop w:val="0"/>
                                              <w:marBottom w:val="0"/>
                                              <w:divBdr>
                                                <w:top w:val="none" w:sz="0" w:space="0" w:color="auto"/>
                                                <w:left w:val="none" w:sz="0" w:space="0" w:color="auto"/>
                                                <w:bottom w:val="none" w:sz="0" w:space="0" w:color="auto"/>
                                                <w:right w:val="none" w:sz="0" w:space="0" w:color="auto"/>
                                              </w:divBdr>
                                              <w:divsChild>
                                                <w:div w:id="201903917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4746285">
                                                      <w:marLeft w:val="0"/>
                                                      <w:marRight w:val="0"/>
                                                      <w:marTop w:val="0"/>
                                                      <w:marBottom w:val="0"/>
                                                      <w:divBdr>
                                                        <w:top w:val="none" w:sz="0" w:space="0" w:color="auto"/>
                                                        <w:left w:val="none" w:sz="0" w:space="0" w:color="auto"/>
                                                        <w:bottom w:val="none" w:sz="0" w:space="0" w:color="auto"/>
                                                        <w:right w:val="none" w:sz="0" w:space="0" w:color="auto"/>
                                                      </w:divBdr>
                                                      <w:divsChild>
                                                        <w:div w:id="1193811105">
                                                          <w:marLeft w:val="0"/>
                                                          <w:marRight w:val="0"/>
                                                          <w:marTop w:val="0"/>
                                                          <w:marBottom w:val="0"/>
                                                          <w:divBdr>
                                                            <w:top w:val="none" w:sz="0" w:space="0" w:color="auto"/>
                                                            <w:left w:val="none" w:sz="0" w:space="0" w:color="auto"/>
                                                            <w:bottom w:val="none" w:sz="0" w:space="0" w:color="auto"/>
                                                            <w:right w:val="none" w:sz="0" w:space="0" w:color="auto"/>
                                                          </w:divBdr>
                                                          <w:divsChild>
                                                            <w:div w:id="1901624250">
                                                              <w:marLeft w:val="0"/>
                                                              <w:marRight w:val="0"/>
                                                              <w:marTop w:val="0"/>
                                                              <w:marBottom w:val="0"/>
                                                              <w:divBdr>
                                                                <w:top w:val="none" w:sz="0" w:space="0" w:color="auto"/>
                                                                <w:left w:val="none" w:sz="0" w:space="0" w:color="auto"/>
                                                                <w:bottom w:val="none" w:sz="0" w:space="0" w:color="auto"/>
                                                                <w:right w:val="none" w:sz="0" w:space="0" w:color="auto"/>
                                                              </w:divBdr>
                                                              <w:divsChild>
                                                                <w:div w:id="610669012">
                                                                  <w:marLeft w:val="0"/>
                                                                  <w:marRight w:val="0"/>
                                                                  <w:marTop w:val="0"/>
                                                                  <w:marBottom w:val="0"/>
                                                                  <w:divBdr>
                                                                    <w:top w:val="none" w:sz="0" w:space="0" w:color="auto"/>
                                                                    <w:left w:val="none" w:sz="0" w:space="0" w:color="auto"/>
                                                                    <w:bottom w:val="none" w:sz="0" w:space="0" w:color="auto"/>
                                                                    <w:right w:val="none" w:sz="0" w:space="0" w:color="auto"/>
                                                                  </w:divBdr>
                                                                  <w:divsChild>
                                                                    <w:div w:id="1193180476">
                                                                      <w:marLeft w:val="0"/>
                                                                      <w:marRight w:val="0"/>
                                                                      <w:marTop w:val="0"/>
                                                                      <w:marBottom w:val="0"/>
                                                                      <w:divBdr>
                                                                        <w:top w:val="none" w:sz="0" w:space="0" w:color="auto"/>
                                                                        <w:left w:val="none" w:sz="0" w:space="0" w:color="auto"/>
                                                                        <w:bottom w:val="none" w:sz="0" w:space="0" w:color="auto"/>
                                                                        <w:right w:val="none" w:sz="0" w:space="0" w:color="auto"/>
                                                                      </w:divBdr>
                                                                      <w:divsChild>
                                                                        <w:div w:id="57502154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43580841">
                                                                              <w:marLeft w:val="0"/>
                                                                              <w:marRight w:val="0"/>
                                                                              <w:marTop w:val="0"/>
                                                                              <w:marBottom w:val="0"/>
                                                                              <w:divBdr>
                                                                                <w:top w:val="none" w:sz="0" w:space="0" w:color="auto"/>
                                                                                <w:left w:val="none" w:sz="0" w:space="0" w:color="auto"/>
                                                                                <w:bottom w:val="none" w:sz="0" w:space="0" w:color="auto"/>
                                                                                <w:right w:val="none" w:sz="0" w:space="0" w:color="auto"/>
                                                                              </w:divBdr>
                                                                              <w:divsChild>
                                                                                <w:div w:id="1965647488">
                                                                                  <w:marLeft w:val="0"/>
                                                                                  <w:marRight w:val="0"/>
                                                                                  <w:marTop w:val="0"/>
                                                                                  <w:marBottom w:val="0"/>
                                                                                  <w:divBdr>
                                                                                    <w:top w:val="none" w:sz="0" w:space="0" w:color="auto"/>
                                                                                    <w:left w:val="none" w:sz="0" w:space="0" w:color="auto"/>
                                                                                    <w:bottom w:val="none" w:sz="0" w:space="0" w:color="auto"/>
                                                                                    <w:right w:val="none" w:sz="0" w:space="0" w:color="auto"/>
                                                                                  </w:divBdr>
                                                                                  <w:divsChild>
                                                                                    <w:div w:id="344020520">
                                                                                      <w:marLeft w:val="0"/>
                                                                                      <w:marRight w:val="0"/>
                                                                                      <w:marTop w:val="0"/>
                                                                                      <w:marBottom w:val="0"/>
                                                                                      <w:divBdr>
                                                                                        <w:top w:val="none" w:sz="0" w:space="0" w:color="auto"/>
                                                                                        <w:left w:val="none" w:sz="0" w:space="0" w:color="auto"/>
                                                                                        <w:bottom w:val="none" w:sz="0" w:space="0" w:color="auto"/>
                                                                                        <w:right w:val="none" w:sz="0" w:space="0" w:color="auto"/>
                                                                                      </w:divBdr>
                                                                                    </w:div>
                                                                                    <w:div w:id="500699097">
                                                                                      <w:marLeft w:val="0"/>
                                                                                      <w:marRight w:val="0"/>
                                                                                      <w:marTop w:val="0"/>
                                                                                      <w:marBottom w:val="0"/>
                                                                                      <w:divBdr>
                                                                                        <w:top w:val="none" w:sz="0" w:space="0" w:color="auto"/>
                                                                                        <w:left w:val="none" w:sz="0" w:space="0" w:color="auto"/>
                                                                                        <w:bottom w:val="none" w:sz="0" w:space="0" w:color="auto"/>
                                                                                        <w:right w:val="none" w:sz="0" w:space="0" w:color="auto"/>
                                                                                      </w:divBdr>
                                                                                    </w:div>
                                                                                    <w:div w:id="937713124">
                                                                                      <w:marLeft w:val="0"/>
                                                                                      <w:marRight w:val="0"/>
                                                                                      <w:marTop w:val="0"/>
                                                                                      <w:marBottom w:val="0"/>
                                                                                      <w:divBdr>
                                                                                        <w:top w:val="none" w:sz="0" w:space="0" w:color="auto"/>
                                                                                        <w:left w:val="none" w:sz="0" w:space="0" w:color="auto"/>
                                                                                        <w:bottom w:val="none" w:sz="0" w:space="0" w:color="auto"/>
                                                                                        <w:right w:val="none" w:sz="0" w:space="0" w:color="auto"/>
                                                                                      </w:divBdr>
                                                                                    </w:div>
                                                                                    <w:div w:id="1171141567">
                                                                                      <w:marLeft w:val="0"/>
                                                                                      <w:marRight w:val="0"/>
                                                                                      <w:marTop w:val="0"/>
                                                                                      <w:marBottom w:val="0"/>
                                                                                      <w:divBdr>
                                                                                        <w:top w:val="none" w:sz="0" w:space="0" w:color="auto"/>
                                                                                        <w:left w:val="none" w:sz="0" w:space="0" w:color="auto"/>
                                                                                        <w:bottom w:val="none" w:sz="0" w:space="0" w:color="auto"/>
                                                                                        <w:right w:val="none" w:sz="0" w:space="0" w:color="auto"/>
                                                                                      </w:divBdr>
                                                                                    </w:div>
                                                                                    <w:div w:id="13493305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866402604">
      <w:bodyDiv w:val="1"/>
      <w:marLeft w:val="0"/>
      <w:marRight w:val="0"/>
      <w:marTop w:val="0"/>
      <w:marBottom w:val="0"/>
      <w:divBdr>
        <w:top w:val="none" w:sz="0" w:space="0" w:color="auto"/>
        <w:left w:val="none" w:sz="0" w:space="0" w:color="auto"/>
        <w:bottom w:val="none" w:sz="0" w:space="0" w:color="auto"/>
        <w:right w:val="none" w:sz="0" w:space="0" w:color="auto"/>
      </w:divBdr>
      <w:divsChild>
        <w:div w:id="406418439">
          <w:marLeft w:val="0"/>
          <w:marRight w:val="0"/>
          <w:marTop w:val="0"/>
          <w:marBottom w:val="0"/>
          <w:divBdr>
            <w:top w:val="none" w:sz="0" w:space="0" w:color="auto"/>
            <w:left w:val="none" w:sz="0" w:space="0" w:color="auto"/>
            <w:bottom w:val="none" w:sz="0" w:space="0" w:color="auto"/>
            <w:right w:val="none" w:sz="0" w:space="0" w:color="auto"/>
          </w:divBdr>
          <w:divsChild>
            <w:div w:id="1355154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549906">
      <w:bodyDiv w:val="1"/>
      <w:marLeft w:val="0"/>
      <w:marRight w:val="0"/>
      <w:marTop w:val="0"/>
      <w:marBottom w:val="0"/>
      <w:divBdr>
        <w:top w:val="none" w:sz="0" w:space="0" w:color="auto"/>
        <w:left w:val="none" w:sz="0" w:space="0" w:color="auto"/>
        <w:bottom w:val="none" w:sz="0" w:space="0" w:color="auto"/>
        <w:right w:val="none" w:sz="0" w:space="0" w:color="auto"/>
      </w:divBdr>
    </w:div>
    <w:div w:id="1928466453">
      <w:bodyDiv w:val="1"/>
      <w:marLeft w:val="0"/>
      <w:marRight w:val="0"/>
      <w:marTop w:val="0"/>
      <w:marBottom w:val="0"/>
      <w:divBdr>
        <w:top w:val="none" w:sz="0" w:space="0" w:color="auto"/>
        <w:left w:val="none" w:sz="0" w:space="0" w:color="auto"/>
        <w:bottom w:val="none" w:sz="0" w:space="0" w:color="auto"/>
        <w:right w:val="none" w:sz="0" w:space="0" w:color="auto"/>
      </w:divBdr>
      <w:divsChild>
        <w:div w:id="414278002">
          <w:marLeft w:val="0"/>
          <w:marRight w:val="0"/>
          <w:marTop w:val="0"/>
          <w:marBottom w:val="0"/>
          <w:divBdr>
            <w:top w:val="none" w:sz="0" w:space="0" w:color="auto"/>
            <w:left w:val="none" w:sz="0" w:space="0" w:color="auto"/>
            <w:bottom w:val="none" w:sz="0" w:space="0" w:color="auto"/>
            <w:right w:val="none" w:sz="0" w:space="0" w:color="auto"/>
          </w:divBdr>
          <w:divsChild>
            <w:div w:id="142353805">
              <w:marLeft w:val="0"/>
              <w:marRight w:val="0"/>
              <w:marTop w:val="0"/>
              <w:marBottom w:val="0"/>
              <w:divBdr>
                <w:top w:val="none" w:sz="0" w:space="0" w:color="auto"/>
                <w:left w:val="none" w:sz="0" w:space="0" w:color="auto"/>
                <w:bottom w:val="none" w:sz="0" w:space="0" w:color="auto"/>
                <w:right w:val="none" w:sz="0" w:space="0" w:color="auto"/>
              </w:divBdr>
              <w:divsChild>
                <w:div w:id="22140460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90737310">
                      <w:marLeft w:val="0"/>
                      <w:marRight w:val="0"/>
                      <w:marTop w:val="0"/>
                      <w:marBottom w:val="0"/>
                      <w:divBdr>
                        <w:top w:val="none" w:sz="0" w:space="0" w:color="auto"/>
                        <w:left w:val="none" w:sz="0" w:space="0" w:color="auto"/>
                        <w:bottom w:val="none" w:sz="0" w:space="0" w:color="auto"/>
                        <w:right w:val="none" w:sz="0" w:space="0" w:color="auto"/>
                      </w:divBdr>
                      <w:divsChild>
                        <w:div w:id="842667723">
                          <w:marLeft w:val="0"/>
                          <w:marRight w:val="0"/>
                          <w:marTop w:val="0"/>
                          <w:marBottom w:val="0"/>
                          <w:divBdr>
                            <w:top w:val="none" w:sz="0" w:space="0" w:color="auto"/>
                            <w:left w:val="none" w:sz="0" w:space="0" w:color="auto"/>
                            <w:bottom w:val="none" w:sz="0" w:space="0" w:color="auto"/>
                            <w:right w:val="none" w:sz="0" w:space="0" w:color="auto"/>
                          </w:divBdr>
                          <w:divsChild>
                            <w:div w:id="1371415739">
                              <w:marLeft w:val="0"/>
                              <w:marRight w:val="0"/>
                              <w:marTop w:val="0"/>
                              <w:marBottom w:val="0"/>
                              <w:divBdr>
                                <w:top w:val="none" w:sz="0" w:space="0" w:color="auto"/>
                                <w:left w:val="none" w:sz="0" w:space="0" w:color="auto"/>
                                <w:bottom w:val="none" w:sz="0" w:space="0" w:color="auto"/>
                                <w:right w:val="none" w:sz="0" w:space="0" w:color="auto"/>
                              </w:divBdr>
                              <w:divsChild>
                                <w:div w:id="788548017">
                                  <w:marLeft w:val="0"/>
                                  <w:marRight w:val="0"/>
                                  <w:marTop w:val="0"/>
                                  <w:marBottom w:val="0"/>
                                  <w:divBdr>
                                    <w:top w:val="none" w:sz="0" w:space="0" w:color="auto"/>
                                    <w:left w:val="none" w:sz="0" w:space="0" w:color="auto"/>
                                    <w:bottom w:val="none" w:sz="0" w:space="0" w:color="auto"/>
                                    <w:right w:val="none" w:sz="0" w:space="0" w:color="auto"/>
                                  </w:divBdr>
                                </w:div>
                                <w:div w:id="1009020844">
                                  <w:marLeft w:val="0"/>
                                  <w:marRight w:val="0"/>
                                  <w:marTop w:val="0"/>
                                  <w:marBottom w:val="0"/>
                                  <w:divBdr>
                                    <w:top w:val="none" w:sz="0" w:space="0" w:color="auto"/>
                                    <w:left w:val="none" w:sz="0" w:space="0" w:color="auto"/>
                                    <w:bottom w:val="none" w:sz="0" w:space="0" w:color="auto"/>
                                    <w:right w:val="none" w:sz="0" w:space="0" w:color="auto"/>
                                  </w:divBdr>
                                </w:div>
                                <w:div w:id="1124544182">
                                  <w:marLeft w:val="0"/>
                                  <w:marRight w:val="0"/>
                                  <w:marTop w:val="0"/>
                                  <w:marBottom w:val="0"/>
                                  <w:divBdr>
                                    <w:top w:val="none" w:sz="0" w:space="0" w:color="auto"/>
                                    <w:left w:val="none" w:sz="0" w:space="0" w:color="auto"/>
                                    <w:bottom w:val="none" w:sz="0" w:space="0" w:color="auto"/>
                                    <w:right w:val="none" w:sz="0" w:space="0" w:color="auto"/>
                                  </w:divBdr>
                                </w:div>
                                <w:div w:id="194078085">
                                  <w:marLeft w:val="0"/>
                                  <w:marRight w:val="0"/>
                                  <w:marTop w:val="0"/>
                                  <w:marBottom w:val="0"/>
                                  <w:divBdr>
                                    <w:top w:val="none" w:sz="0" w:space="0" w:color="auto"/>
                                    <w:left w:val="none" w:sz="0" w:space="0" w:color="auto"/>
                                    <w:bottom w:val="none" w:sz="0" w:space="0" w:color="auto"/>
                                    <w:right w:val="none" w:sz="0" w:space="0" w:color="auto"/>
                                  </w:divBdr>
                                </w:div>
                                <w:div w:id="1391658768">
                                  <w:marLeft w:val="1440"/>
                                  <w:marRight w:val="0"/>
                                  <w:marTop w:val="0"/>
                                  <w:marBottom w:val="0"/>
                                  <w:divBdr>
                                    <w:top w:val="none" w:sz="0" w:space="0" w:color="auto"/>
                                    <w:left w:val="none" w:sz="0" w:space="0" w:color="auto"/>
                                    <w:bottom w:val="none" w:sz="0" w:space="0" w:color="auto"/>
                                    <w:right w:val="none" w:sz="0" w:space="0" w:color="auto"/>
                                  </w:divBdr>
                                </w:div>
                                <w:div w:id="225920914">
                                  <w:marLeft w:val="1440"/>
                                  <w:marRight w:val="0"/>
                                  <w:marTop w:val="0"/>
                                  <w:marBottom w:val="0"/>
                                  <w:divBdr>
                                    <w:top w:val="none" w:sz="0" w:space="0" w:color="auto"/>
                                    <w:left w:val="none" w:sz="0" w:space="0" w:color="auto"/>
                                    <w:bottom w:val="none" w:sz="0" w:space="0" w:color="auto"/>
                                    <w:right w:val="none" w:sz="0" w:space="0" w:color="auto"/>
                                  </w:divBdr>
                                </w:div>
                                <w:div w:id="117148300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4446417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31091355">
                      <w:marLeft w:val="0"/>
                      <w:marRight w:val="0"/>
                      <w:marTop w:val="0"/>
                      <w:marBottom w:val="0"/>
                      <w:divBdr>
                        <w:top w:val="none" w:sz="0" w:space="0" w:color="auto"/>
                        <w:left w:val="none" w:sz="0" w:space="0" w:color="auto"/>
                        <w:bottom w:val="none" w:sz="0" w:space="0" w:color="auto"/>
                        <w:right w:val="none" w:sz="0" w:space="0" w:color="auto"/>
                      </w:divBdr>
                      <w:divsChild>
                        <w:div w:id="1400789931">
                          <w:marLeft w:val="0"/>
                          <w:marRight w:val="0"/>
                          <w:marTop w:val="0"/>
                          <w:marBottom w:val="0"/>
                          <w:divBdr>
                            <w:top w:val="none" w:sz="0" w:space="0" w:color="auto"/>
                            <w:left w:val="none" w:sz="0" w:space="0" w:color="auto"/>
                            <w:bottom w:val="none" w:sz="0" w:space="0" w:color="auto"/>
                            <w:right w:val="none" w:sz="0" w:space="0" w:color="auto"/>
                          </w:divBdr>
                          <w:divsChild>
                            <w:div w:id="1753115733">
                              <w:blockQuote w:val="1"/>
                              <w:marLeft w:val="600"/>
                              <w:marRight w:val="0"/>
                              <w:marTop w:val="0"/>
                              <w:marBottom w:val="0"/>
                              <w:divBdr>
                                <w:top w:val="none" w:sz="0" w:space="0" w:color="auto"/>
                                <w:left w:val="none" w:sz="0" w:space="0" w:color="auto"/>
                                <w:bottom w:val="none" w:sz="0" w:space="0" w:color="auto"/>
                                <w:right w:val="none" w:sz="0" w:space="0" w:color="auto"/>
                              </w:divBdr>
                              <w:divsChild>
                                <w:div w:id="2058433916">
                                  <w:blockQuote w:val="1"/>
                                  <w:marLeft w:val="600"/>
                                  <w:marRight w:val="0"/>
                                  <w:marTop w:val="0"/>
                                  <w:marBottom w:val="0"/>
                                  <w:divBdr>
                                    <w:top w:val="none" w:sz="0" w:space="0" w:color="auto"/>
                                    <w:left w:val="none" w:sz="0" w:space="0" w:color="auto"/>
                                    <w:bottom w:val="none" w:sz="0" w:space="0" w:color="auto"/>
                                    <w:right w:val="none" w:sz="0" w:space="0" w:color="auto"/>
                                  </w:divBdr>
                                  <w:divsChild>
                                    <w:div w:id="1089691765">
                                      <w:marLeft w:val="0"/>
                                      <w:marRight w:val="0"/>
                                      <w:marTop w:val="0"/>
                                      <w:marBottom w:val="0"/>
                                      <w:divBdr>
                                        <w:top w:val="none" w:sz="0" w:space="0" w:color="auto"/>
                                        <w:left w:val="none" w:sz="0" w:space="0" w:color="auto"/>
                                        <w:bottom w:val="none" w:sz="0" w:space="0" w:color="auto"/>
                                        <w:right w:val="none" w:sz="0" w:space="0" w:color="auto"/>
                                      </w:divBdr>
                                    </w:div>
                                  </w:divsChild>
                                </w:div>
                                <w:div w:id="259416493">
                                  <w:blockQuote w:val="1"/>
                                  <w:marLeft w:val="600"/>
                                  <w:marRight w:val="0"/>
                                  <w:marTop w:val="0"/>
                                  <w:marBottom w:val="0"/>
                                  <w:divBdr>
                                    <w:top w:val="none" w:sz="0" w:space="0" w:color="auto"/>
                                    <w:left w:val="none" w:sz="0" w:space="0" w:color="auto"/>
                                    <w:bottom w:val="none" w:sz="0" w:space="0" w:color="auto"/>
                                    <w:right w:val="none" w:sz="0" w:space="0" w:color="auto"/>
                                  </w:divBdr>
                                  <w:divsChild>
                                    <w:div w:id="1451974243">
                                      <w:marLeft w:val="0"/>
                                      <w:marRight w:val="0"/>
                                      <w:marTop w:val="0"/>
                                      <w:marBottom w:val="0"/>
                                      <w:divBdr>
                                        <w:top w:val="none" w:sz="0" w:space="0" w:color="auto"/>
                                        <w:left w:val="none" w:sz="0" w:space="0" w:color="auto"/>
                                        <w:bottom w:val="none" w:sz="0" w:space="0" w:color="auto"/>
                                        <w:right w:val="none" w:sz="0" w:space="0" w:color="auto"/>
                                      </w:divBdr>
                                      <w:divsChild>
                                        <w:div w:id="2087800760">
                                          <w:marLeft w:val="1440"/>
                                          <w:marRight w:val="0"/>
                                          <w:marTop w:val="0"/>
                                          <w:marBottom w:val="0"/>
                                          <w:divBdr>
                                            <w:top w:val="none" w:sz="0" w:space="0" w:color="auto"/>
                                            <w:left w:val="none" w:sz="0" w:space="0" w:color="auto"/>
                                            <w:bottom w:val="none" w:sz="0" w:space="0" w:color="auto"/>
                                            <w:right w:val="none" w:sz="0" w:space="0" w:color="auto"/>
                                          </w:divBdr>
                                        </w:div>
                                      </w:divsChild>
                                    </w:div>
                                  </w:divsChild>
                                </w:div>
                                <w:div w:id="939028183">
                                  <w:blockQuote w:val="1"/>
                                  <w:marLeft w:val="600"/>
                                  <w:marRight w:val="0"/>
                                  <w:marTop w:val="0"/>
                                  <w:marBottom w:val="0"/>
                                  <w:divBdr>
                                    <w:top w:val="none" w:sz="0" w:space="0" w:color="auto"/>
                                    <w:left w:val="none" w:sz="0" w:space="0" w:color="auto"/>
                                    <w:bottom w:val="none" w:sz="0" w:space="0" w:color="auto"/>
                                    <w:right w:val="none" w:sz="0" w:space="0" w:color="auto"/>
                                  </w:divBdr>
                                  <w:divsChild>
                                    <w:div w:id="1338656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0164881">
                              <w:blockQuote w:val="1"/>
                              <w:marLeft w:val="600"/>
                              <w:marRight w:val="0"/>
                              <w:marTop w:val="0"/>
                              <w:marBottom w:val="0"/>
                              <w:divBdr>
                                <w:top w:val="none" w:sz="0" w:space="0" w:color="auto"/>
                                <w:left w:val="none" w:sz="0" w:space="0" w:color="auto"/>
                                <w:bottom w:val="none" w:sz="0" w:space="0" w:color="auto"/>
                                <w:right w:val="none" w:sz="0" w:space="0" w:color="auto"/>
                              </w:divBdr>
                              <w:divsChild>
                                <w:div w:id="283969002">
                                  <w:blockQuote w:val="1"/>
                                  <w:marLeft w:val="600"/>
                                  <w:marRight w:val="0"/>
                                  <w:marTop w:val="0"/>
                                  <w:marBottom w:val="0"/>
                                  <w:divBdr>
                                    <w:top w:val="none" w:sz="0" w:space="0" w:color="auto"/>
                                    <w:left w:val="none" w:sz="0" w:space="0" w:color="auto"/>
                                    <w:bottom w:val="none" w:sz="0" w:space="0" w:color="auto"/>
                                    <w:right w:val="none" w:sz="0" w:space="0" w:color="auto"/>
                                  </w:divBdr>
                                  <w:divsChild>
                                    <w:div w:id="592520105">
                                      <w:marLeft w:val="0"/>
                                      <w:marRight w:val="0"/>
                                      <w:marTop w:val="0"/>
                                      <w:marBottom w:val="0"/>
                                      <w:divBdr>
                                        <w:top w:val="none" w:sz="0" w:space="0" w:color="auto"/>
                                        <w:left w:val="none" w:sz="0" w:space="0" w:color="auto"/>
                                        <w:bottom w:val="none" w:sz="0" w:space="0" w:color="auto"/>
                                        <w:right w:val="none" w:sz="0" w:space="0" w:color="auto"/>
                                      </w:divBdr>
                                    </w:div>
                                  </w:divsChild>
                                </w:div>
                                <w:div w:id="2029985691">
                                  <w:blockQuote w:val="1"/>
                                  <w:marLeft w:val="600"/>
                                  <w:marRight w:val="0"/>
                                  <w:marTop w:val="0"/>
                                  <w:marBottom w:val="0"/>
                                  <w:divBdr>
                                    <w:top w:val="none" w:sz="0" w:space="0" w:color="auto"/>
                                    <w:left w:val="none" w:sz="0" w:space="0" w:color="auto"/>
                                    <w:bottom w:val="none" w:sz="0" w:space="0" w:color="auto"/>
                                    <w:right w:val="none" w:sz="0" w:space="0" w:color="auto"/>
                                  </w:divBdr>
                                  <w:divsChild>
                                    <w:div w:id="1690788384">
                                      <w:marLeft w:val="0"/>
                                      <w:marRight w:val="0"/>
                                      <w:marTop w:val="0"/>
                                      <w:marBottom w:val="0"/>
                                      <w:divBdr>
                                        <w:top w:val="none" w:sz="0" w:space="0" w:color="auto"/>
                                        <w:left w:val="none" w:sz="0" w:space="0" w:color="auto"/>
                                        <w:bottom w:val="none" w:sz="0" w:space="0" w:color="auto"/>
                                        <w:right w:val="none" w:sz="0" w:space="0" w:color="auto"/>
                                      </w:divBdr>
                                    </w:div>
                                  </w:divsChild>
                                </w:div>
                                <w:div w:id="856887497">
                                  <w:blockQuote w:val="1"/>
                                  <w:marLeft w:val="600"/>
                                  <w:marRight w:val="0"/>
                                  <w:marTop w:val="0"/>
                                  <w:marBottom w:val="0"/>
                                  <w:divBdr>
                                    <w:top w:val="none" w:sz="0" w:space="0" w:color="auto"/>
                                    <w:left w:val="none" w:sz="0" w:space="0" w:color="auto"/>
                                    <w:bottom w:val="none" w:sz="0" w:space="0" w:color="auto"/>
                                    <w:right w:val="none" w:sz="0" w:space="0" w:color="auto"/>
                                  </w:divBdr>
                                  <w:divsChild>
                                    <w:div w:id="4851650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1543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44722684">
      <w:bodyDiv w:val="1"/>
      <w:marLeft w:val="0"/>
      <w:marRight w:val="0"/>
      <w:marTop w:val="0"/>
      <w:marBottom w:val="0"/>
      <w:divBdr>
        <w:top w:val="none" w:sz="0" w:space="0" w:color="auto"/>
        <w:left w:val="none" w:sz="0" w:space="0" w:color="auto"/>
        <w:bottom w:val="none" w:sz="0" w:space="0" w:color="auto"/>
        <w:right w:val="none" w:sz="0" w:space="0" w:color="auto"/>
      </w:divBdr>
    </w:div>
    <w:div w:id="1981376401">
      <w:bodyDiv w:val="1"/>
      <w:marLeft w:val="0"/>
      <w:marRight w:val="0"/>
      <w:marTop w:val="0"/>
      <w:marBottom w:val="0"/>
      <w:divBdr>
        <w:top w:val="none" w:sz="0" w:space="0" w:color="auto"/>
        <w:left w:val="none" w:sz="0" w:space="0" w:color="auto"/>
        <w:bottom w:val="none" w:sz="0" w:space="0" w:color="auto"/>
        <w:right w:val="none" w:sz="0" w:space="0" w:color="auto"/>
      </w:divBdr>
    </w:div>
    <w:div w:id="1999577687">
      <w:bodyDiv w:val="1"/>
      <w:marLeft w:val="0"/>
      <w:marRight w:val="0"/>
      <w:marTop w:val="0"/>
      <w:marBottom w:val="0"/>
      <w:divBdr>
        <w:top w:val="none" w:sz="0" w:space="0" w:color="auto"/>
        <w:left w:val="none" w:sz="0" w:space="0" w:color="auto"/>
        <w:bottom w:val="none" w:sz="0" w:space="0" w:color="auto"/>
        <w:right w:val="none" w:sz="0" w:space="0" w:color="auto"/>
      </w:divBdr>
    </w:div>
    <w:div w:id="2081437864">
      <w:bodyDiv w:val="1"/>
      <w:marLeft w:val="0"/>
      <w:marRight w:val="0"/>
      <w:marTop w:val="0"/>
      <w:marBottom w:val="0"/>
      <w:divBdr>
        <w:top w:val="none" w:sz="0" w:space="0" w:color="auto"/>
        <w:left w:val="none" w:sz="0" w:space="0" w:color="auto"/>
        <w:bottom w:val="none" w:sz="0" w:space="0" w:color="auto"/>
        <w:right w:val="none" w:sz="0" w:space="0" w:color="auto"/>
      </w:divBdr>
    </w:div>
    <w:div w:id="21394516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customXml" Target="../customXml/item1.xml"/><Relationship Id="rId16" Type="http://schemas.openxmlformats.org/officeDocument/2006/relationships/image" Target="media/image8.png"/><Relationship Id="rId20"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image" Target="media/image7.png"/><Relationship Id="rId10" Type="http://schemas.openxmlformats.org/officeDocument/2006/relationships/image" Target="media/image2.png"/><Relationship Id="rId1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268C93-B501-7247-AE9E-EAB86C4DB7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0</TotalTime>
  <Pages>8</Pages>
  <Words>2581</Words>
  <Characters>14716</Characters>
  <Application>Microsoft Office Word</Application>
  <DocSecurity>0</DocSecurity>
  <Lines>122</Lines>
  <Paragraphs>34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17263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Yang Tang</cp:lastModifiedBy>
  <cp:revision>2</cp:revision>
  <cp:lastPrinted>2019-02-25T14:05:00Z</cp:lastPrinted>
  <dcterms:created xsi:type="dcterms:W3CDTF">2021-04-02T16:47:00Z</dcterms:created>
  <dcterms:modified xsi:type="dcterms:W3CDTF">2021-04-02T16:47:00Z</dcterms:modified>
  <cp:category/>
</cp:coreProperties>
</file>